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982CA" w14:textId="2341C7C3" w:rsidR="00A35E4A" w:rsidRDefault="31BCA4BC" w:rsidP="00967FB4">
      <w:pPr>
        <w:pStyle w:val="Heading1"/>
      </w:pPr>
      <w:r>
        <w:t xml:space="preserve">Work plan for </w:t>
      </w:r>
      <w:r w:rsidR="2BA73311">
        <w:t>pollination</w:t>
      </w:r>
    </w:p>
    <w:p w14:paraId="54AD2D24" w14:textId="61EAFE3C" w:rsidR="00A35E4A" w:rsidRDefault="00A35E4A" w:rsidP="00A35E4A">
      <w:pPr>
        <w:pStyle w:val="Heading2"/>
      </w:pPr>
      <w:r>
        <w:t xml:space="preserve">Importance of </w:t>
      </w:r>
      <w:r w:rsidR="005656F4">
        <w:t>pollination</w:t>
      </w:r>
    </w:p>
    <w:p w14:paraId="113AD57B" w14:textId="1464DF8E" w:rsidR="0024429D" w:rsidRDefault="00C46E9A" w:rsidP="00C46E9A">
      <w:bookmarkStart w:id="0" w:name="_Hlk116558600"/>
      <w:r>
        <w:t xml:space="preserve">The pollination of crops by insects, birds, and bats is an essential ecosystem service. </w:t>
      </w:r>
      <w:r w:rsidR="00A307BE">
        <w:t xml:space="preserve">About </w:t>
      </w:r>
      <w:r>
        <w:t xml:space="preserve">75% of crop species depend to some degree on </w:t>
      </w:r>
      <w:r w:rsidR="00A26887">
        <w:t xml:space="preserve">animal </w:t>
      </w:r>
      <w:r>
        <w:t xml:space="preserve">pollination, </w:t>
      </w:r>
      <w:r w:rsidR="00A26887">
        <w:t>and pollinator declines will likely impact food production and lead to dietary changes</w:t>
      </w:r>
      <w:r>
        <w:t>.</w:t>
      </w:r>
      <w:r>
        <w:rPr>
          <w:rStyle w:val="FootnoteReference"/>
        </w:rPr>
        <w:footnoteReference w:id="2"/>
      </w:r>
      <w:r>
        <w:rPr>
          <w:vertAlign w:val="superscript"/>
        </w:rPr>
        <w:t>,</w:t>
      </w:r>
      <w:r>
        <w:rPr>
          <w:rStyle w:val="FootnoteReference"/>
        </w:rPr>
        <w:footnoteReference w:id="3"/>
      </w:r>
      <w:r>
        <w:t xml:space="preserve"> Pollination-dependent crops include many nutritionally important crops</w:t>
      </w:r>
      <w:r>
        <w:rPr>
          <w:rStyle w:val="FootnoteReference"/>
        </w:rPr>
        <w:footnoteReference w:id="4"/>
      </w:r>
      <w:r>
        <w:t xml:space="preserve"> that are critical to human health, particularly in the developing world.</w:t>
      </w:r>
      <w:r>
        <w:rPr>
          <w:rStyle w:val="FootnoteReference"/>
        </w:rPr>
        <w:footnoteReference w:id="5"/>
      </w:r>
      <w:r>
        <w:rPr>
          <w:vertAlign w:val="superscript"/>
        </w:rPr>
        <w:t>,</w:t>
      </w:r>
      <w:r>
        <w:rPr>
          <w:rStyle w:val="FootnoteReference"/>
        </w:rPr>
        <w:footnoteReference w:id="6"/>
      </w:r>
      <w:r>
        <w:t xml:space="preserve"> Declines in managed honey</w:t>
      </w:r>
      <w:r w:rsidR="00211FFA">
        <w:t xml:space="preserve"> </w:t>
      </w:r>
      <w:r>
        <w:t>bee</w:t>
      </w:r>
      <w:r w:rsidR="007941EA">
        <w:t xml:space="preserve"> (</w:t>
      </w:r>
      <w:r w:rsidR="007941EA" w:rsidRPr="7A704B6F">
        <w:rPr>
          <w:i/>
          <w:iCs/>
        </w:rPr>
        <w:t>Apis mellifera</w:t>
      </w:r>
      <w:r w:rsidR="007941EA">
        <w:t xml:space="preserve">) </w:t>
      </w:r>
      <w:r w:rsidR="007216CB">
        <w:t xml:space="preserve">health </w:t>
      </w:r>
      <w:r>
        <w:t xml:space="preserve">and in wild pollinator populations </w:t>
      </w:r>
      <w:r w:rsidR="00E73EA2">
        <w:t xml:space="preserve">(see definitions below) </w:t>
      </w:r>
      <w:r>
        <w:t>lend further urgency to the issue of pollination</w:t>
      </w:r>
      <w:r w:rsidR="006A2124">
        <w:t xml:space="preserve">; a variety of causes have been identified in these declines, </w:t>
      </w:r>
      <w:r w:rsidR="0024429D">
        <w:t>mostly related to agricultural intensification,</w:t>
      </w:r>
      <w:r w:rsidR="006A2124">
        <w:t xml:space="preserve"> pests and disease, pesticide exposure, </w:t>
      </w:r>
      <w:r w:rsidR="006927F2">
        <w:t xml:space="preserve">climate change, </w:t>
      </w:r>
      <w:r w:rsidR="006A2124">
        <w:t>and habitat loss</w:t>
      </w:r>
      <w:r>
        <w:t>.</w:t>
      </w:r>
      <w:r w:rsidR="0024429D" w:rsidRPr="0024429D">
        <w:rPr>
          <w:rStyle w:val="FootnoteReference"/>
        </w:rPr>
        <w:footnoteReference w:id="7"/>
      </w:r>
      <w:r w:rsidR="0024429D" w:rsidRPr="0024429D">
        <w:rPr>
          <w:vertAlign w:val="superscript"/>
        </w:rPr>
        <w:t>,</w:t>
      </w:r>
      <w:r w:rsidR="0024429D" w:rsidRPr="0024429D">
        <w:rPr>
          <w:rStyle w:val="FootnoteReference"/>
        </w:rPr>
        <w:footnoteReference w:id="8"/>
      </w:r>
      <w:r w:rsidR="0024429D" w:rsidRPr="0024429D">
        <w:rPr>
          <w:vertAlign w:val="superscript"/>
        </w:rPr>
        <w:t>,</w:t>
      </w:r>
      <w:r w:rsidR="0024429D" w:rsidRPr="0024429D">
        <w:rPr>
          <w:rStyle w:val="FootnoteReference"/>
        </w:rPr>
        <w:footnoteReference w:id="9"/>
      </w:r>
      <w:r w:rsidR="0024429D" w:rsidRPr="0024429D">
        <w:rPr>
          <w:vertAlign w:val="superscript"/>
        </w:rPr>
        <w:t>,</w:t>
      </w:r>
      <w:r w:rsidR="0024429D" w:rsidRPr="0024429D">
        <w:rPr>
          <w:rStyle w:val="FootnoteReference"/>
        </w:rPr>
        <w:footnoteReference w:id="10"/>
      </w:r>
    </w:p>
    <w:p w14:paraId="6E829422" w14:textId="687666B9" w:rsidR="00C46E9A" w:rsidRDefault="00C46E9A" w:rsidP="0024429D">
      <w:r>
        <w:t>Production</w:t>
      </w:r>
      <w:r w:rsidR="00A307BE">
        <w:t>-g</w:t>
      </w:r>
      <w:r>
        <w:t>rade crop pollination accounts</w:t>
      </w:r>
      <w:r w:rsidR="00B70739">
        <w:rPr>
          <w:rStyle w:val="FootnoteReference"/>
        </w:rPr>
        <w:footnoteReference w:id="11"/>
      </w:r>
      <w:r>
        <w:t xml:space="preserve"> would provide a much more complete view over time and space of past and present patterns of crop pollination, </w:t>
      </w:r>
      <w:r w:rsidR="009D56FE">
        <w:t>their</w:t>
      </w:r>
      <w:r>
        <w:t xml:space="preserve"> value, and risks and opportunities to enhance crop pollination and the quality, volume, and reliability of harvests of pollination-dependent crops</w:t>
      </w:r>
      <w:r w:rsidR="009D56FE">
        <w:t xml:space="preserve"> in the U.S</w:t>
      </w:r>
      <w:r>
        <w:t>. The U.S. Government’s effort to account for pollinator populations would support agricultural investors</w:t>
      </w:r>
      <w:r w:rsidR="7C11051A">
        <w:t>’</w:t>
      </w:r>
      <w:r>
        <w:t xml:space="preserve"> and insurers</w:t>
      </w:r>
      <w:r w:rsidR="5B513C82">
        <w:t>’</w:t>
      </w:r>
      <w:r>
        <w:t xml:space="preserve"> efforts to bring pollinators onto their balance sheets, likely helping agricultural producers obtain lower-cost financing when they are making investments that reduce the risk of pollination failure. Federal and state agricultural agencies can better track the economic contributions and design incentive programs for conservation of on-farm habitat. </w:t>
      </w:r>
    </w:p>
    <w:p w14:paraId="336EF009" w14:textId="32FB6472" w:rsidR="009F4591" w:rsidRDefault="00153D36" w:rsidP="00A35E4A">
      <w:r>
        <w:t>P</w:t>
      </w:r>
      <w:r w:rsidR="000D4480">
        <w:t xml:space="preserve">ollination </w:t>
      </w:r>
      <w:r w:rsidR="57F553E5">
        <w:t>account</w:t>
      </w:r>
      <w:r>
        <w:t>s</w:t>
      </w:r>
      <w:r w:rsidR="57F553E5">
        <w:t xml:space="preserve"> will focus on </w:t>
      </w:r>
      <w:r w:rsidR="06B9B8AA">
        <w:t>the contributions of ecosystems to</w:t>
      </w:r>
      <w:r w:rsidR="57F553E5">
        <w:t xml:space="preserve"> pollination </w:t>
      </w:r>
      <w:r w:rsidR="21647807">
        <w:t>of crops and potentially other economically useful plants (</w:t>
      </w:r>
      <w:r w:rsidR="21647807" w:rsidRPr="007941EA">
        <w:rPr>
          <w:i/>
          <w:iCs/>
        </w:rPr>
        <w:t>e.g</w:t>
      </w:r>
      <w:r w:rsidR="21647807">
        <w:t>., timber or wild-harvested species)</w:t>
      </w:r>
      <w:r w:rsidR="00A132AE">
        <w:rPr>
          <w:rStyle w:val="FootnoteReference"/>
        </w:rPr>
        <w:footnoteReference w:id="12"/>
      </w:r>
      <w:r w:rsidR="21647807">
        <w:t xml:space="preserve"> </w:t>
      </w:r>
      <w:r w:rsidR="06B9B8AA">
        <w:t xml:space="preserve">- including </w:t>
      </w:r>
      <w:r w:rsidR="09EC3386">
        <w:t>(</w:t>
      </w:r>
      <w:r w:rsidR="06B9B8AA">
        <w:t>1</w:t>
      </w:r>
      <w:r w:rsidR="57F553E5">
        <w:t>)</w:t>
      </w:r>
      <w:r w:rsidR="06B9B8AA">
        <w:t xml:space="preserve"> supporting </w:t>
      </w:r>
      <w:r w:rsidR="06B9B8AA">
        <w:lastRenderedPageBreak/>
        <w:t xml:space="preserve">populations of wild pollinators and </w:t>
      </w:r>
      <w:r w:rsidR="09EC3386">
        <w:t>(</w:t>
      </w:r>
      <w:r w:rsidR="06B9B8AA">
        <w:t xml:space="preserve">2) ecosystem support to managed </w:t>
      </w:r>
      <w:r w:rsidR="32A0EF9E">
        <w:t>pollinators</w:t>
      </w:r>
      <w:r w:rsidR="06B9B8AA">
        <w:t>, including honey</w:t>
      </w:r>
      <w:r w:rsidR="362A3E91">
        <w:t xml:space="preserve"> </w:t>
      </w:r>
      <w:r w:rsidR="06B9B8AA">
        <w:t xml:space="preserve">bees as well as native bees that are managed for pollination </w:t>
      </w:r>
      <w:bookmarkEnd w:id="0"/>
      <w:r w:rsidR="06B9B8AA">
        <w:t>(</w:t>
      </w:r>
      <w:r w:rsidR="06B9B8AA" w:rsidRPr="000D28B9">
        <w:rPr>
          <w:i/>
          <w:iCs/>
        </w:rPr>
        <w:t>e.g</w:t>
      </w:r>
      <w:r w:rsidR="06B9B8AA">
        <w:t xml:space="preserve">., </w:t>
      </w:r>
      <w:r w:rsidR="002F6DB7">
        <w:t>E</w:t>
      </w:r>
      <w:r w:rsidR="06B9B8AA">
        <w:t>astern bumble</w:t>
      </w:r>
      <w:r w:rsidR="00A42978">
        <w:t xml:space="preserve"> </w:t>
      </w:r>
      <w:r w:rsidR="06B9B8AA">
        <w:t xml:space="preserve">bee, </w:t>
      </w:r>
      <w:r w:rsidR="06B9B8AA" w:rsidRPr="454E3BDF">
        <w:rPr>
          <w:i/>
          <w:iCs/>
        </w:rPr>
        <w:t>Bombus impatiens</w:t>
      </w:r>
      <w:r w:rsidR="002F6DB7">
        <w:rPr>
          <w:i/>
          <w:iCs/>
        </w:rPr>
        <w:t>;</w:t>
      </w:r>
      <w:r w:rsidR="78429E61" w:rsidRPr="454E3BDF">
        <w:rPr>
          <w:i/>
          <w:iCs/>
        </w:rPr>
        <w:t xml:space="preserve"> </w:t>
      </w:r>
      <w:r w:rsidR="002F6DB7">
        <w:t xml:space="preserve">mason bees, </w:t>
      </w:r>
      <w:r w:rsidR="002F6DB7" w:rsidRPr="00A624FC">
        <w:rPr>
          <w:i/>
          <w:iCs/>
        </w:rPr>
        <w:t>Osmia spp</w:t>
      </w:r>
      <w:r w:rsidR="002F6DB7">
        <w:t xml:space="preserve">.); </w:t>
      </w:r>
      <w:r w:rsidR="78429E61">
        <w:t>and</w:t>
      </w:r>
      <w:r w:rsidR="002F6DB7">
        <w:t>,</w:t>
      </w:r>
      <w:r w:rsidR="78429E61">
        <w:t xml:space="preserve"> alfalfa leafcutter bee, </w:t>
      </w:r>
      <w:r w:rsidR="78429E61" w:rsidRPr="454E3BDF">
        <w:rPr>
          <w:i/>
          <w:iCs/>
        </w:rPr>
        <w:t>Megachile rotundata</w:t>
      </w:r>
      <w:r w:rsidR="06B9B8AA">
        <w:t>)</w:t>
      </w:r>
      <w:r w:rsidR="21647807">
        <w:t xml:space="preserve"> (Figure 1)</w:t>
      </w:r>
      <w:r w:rsidR="06B9B8AA">
        <w:t>.</w:t>
      </w:r>
      <w:r w:rsidR="00FC54B4">
        <w:rPr>
          <w:rStyle w:val="FootnoteReference"/>
        </w:rPr>
        <w:footnoteReference w:id="13"/>
      </w:r>
      <w:r w:rsidR="06B9B8AA">
        <w:t xml:space="preserve"> L</w:t>
      </w:r>
      <w:r w:rsidR="283C7A6E">
        <w:t xml:space="preserve">ikely </w:t>
      </w:r>
      <w:r w:rsidR="57F553E5">
        <w:t>users of these</w:t>
      </w:r>
      <w:r w:rsidR="01EB12C3">
        <w:t xml:space="preserve"> accounts will include: </w:t>
      </w:r>
    </w:p>
    <w:p w14:paraId="102B2A1C" w14:textId="00021F1F" w:rsidR="00360979" w:rsidRPr="006927F2" w:rsidRDefault="00360979" w:rsidP="00360979">
      <w:pPr>
        <w:pStyle w:val="ListParagraph"/>
        <w:numPr>
          <w:ilvl w:val="0"/>
          <w:numId w:val="5"/>
        </w:numPr>
        <w:rPr>
          <w:rFonts w:cstheme="minorHAnsi"/>
        </w:rPr>
      </w:pPr>
      <w:r w:rsidRPr="6D2E5055">
        <w:rPr>
          <w:b/>
          <w:bCs/>
        </w:rPr>
        <w:t>Federal and state agricultural agencies</w:t>
      </w:r>
      <w:r>
        <w:t>, particularly those like USDA which run incentive programs for conservation of on-farm habitat</w:t>
      </w:r>
      <w:r w:rsidR="009D56FE">
        <w:t xml:space="preserve"> as well as rangelands and forests</w:t>
      </w:r>
      <w:r>
        <w:t>, for whom measuring the effectiveness of these programs in terms of ecosystem service delivery is a long-standing goal. Given the importance of working lands in the America the Beautiful initiative</w:t>
      </w:r>
      <w:r w:rsidR="002F6DB7">
        <w:rPr>
          <w:rStyle w:val="FootnoteReference"/>
        </w:rPr>
        <w:footnoteReference w:id="14"/>
      </w:r>
      <w:r>
        <w:t>, which seeks to conserve 30% of U.S. lands and waters by 2030, assessments of ecosystem services provided by farmlands will be important to tracking its progress.</w:t>
      </w:r>
      <w:r w:rsidR="009D56FE">
        <w:t xml:space="preserve"> The National Strategy to Promote the Health of Honey Bees and Other Pollinators</w:t>
      </w:r>
      <w:r w:rsidR="009D56FE">
        <w:rPr>
          <w:rStyle w:val="FootnoteReference"/>
        </w:rPr>
        <w:footnoteReference w:id="15"/>
      </w:r>
      <w:r w:rsidR="009D56FE">
        <w:t xml:space="preserve"> also has time-sensitive goals that are being used as targets for many federal agencies, which could benefit from pollination accounts.</w:t>
      </w:r>
      <w:r w:rsidR="006927F2">
        <w:t xml:space="preserve"> Pollination accounts may also assist in more comprehensive assessment of the benefits and risks of </w:t>
      </w:r>
      <w:r w:rsidR="006927F2" w:rsidRPr="006927F2">
        <w:rPr>
          <w:rFonts w:cstheme="minorHAnsi"/>
        </w:rPr>
        <w:t>pesticide by EPA under the F</w:t>
      </w:r>
      <w:r w:rsidR="006927F2" w:rsidRPr="006927F2">
        <w:rPr>
          <w:rFonts w:cstheme="minorHAnsi"/>
          <w:color w:val="202124"/>
          <w:shd w:val="clear" w:color="auto" w:fill="FFFFFF"/>
        </w:rPr>
        <w:t>ederal Insecticide, Fungicide, and Rodenticide Act</w:t>
      </w:r>
      <w:r w:rsidR="006927F2" w:rsidRPr="006927F2">
        <w:rPr>
          <w:rFonts w:cstheme="minorHAnsi"/>
        </w:rPr>
        <w:t xml:space="preserve"> (FIFRA). </w:t>
      </w:r>
    </w:p>
    <w:p w14:paraId="424F1926" w14:textId="5B016A6A" w:rsidR="00360979" w:rsidRDefault="00360979" w:rsidP="00360979">
      <w:pPr>
        <w:pStyle w:val="ListParagraph"/>
        <w:numPr>
          <w:ilvl w:val="0"/>
          <w:numId w:val="5"/>
        </w:numPr>
      </w:pPr>
      <w:r w:rsidRPr="00360979">
        <w:rPr>
          <w:b/>
          <w:bCs/>
        </w:rPr>
        <w:t>Agricultural extension agents</w:t>
      </w:r>
      <w:r>
        <w:t xml:space="preserve"> who advise farmers will be better able to identify where and how crop pollination needs can be met by wild vs. managed pollinators, and where emerging risks to pollination supply may be occurring.</w:t>
      </w:r>
    </w:p>
    <w:p w14:paraId="013D1043" w14:textId="30349F23" w:rsidR="00360979" w:rsidRDefault="00360979" w:rsidP="00360979">
      <w:pPr>
        <w:pStyle w:val="ListParagraph"/>
        <w:numPr>
          <w:ilvl w:val="0"/>
          <w:numId w:val="5"/>
        </w:numPr>
      </w:pPr>
      <w:r w:rsidRPr="00360979">
        <w:rPr>
          <w:b/>
          <w:bCs/>
        </w:rPr>
        <w:t>Agricultural industry groups</w:t>
      </w:r>
      <w:r>
        <w:t xml:space="preserve"> for specific states and/or crops and </w:t>
      </w:r>
      <w:r w:rsidR="00A624FC">
        <w:t>non-government organizations (</w:t>
      </w:r>
      <w:r w:rsidRPr="00360979">
        <w:rPr>
          <w:b/>
          <w:bCs/>
        </w:rPr>
        <w:t>NGOs</w:t>
      </w:r>
      <w:r w:rsidR="00A624FC" w:rsidRPr="00A624FC">
        <w:t>)</w:t>
      </w:r>
      <w:r>
        <w:t xml:space="preserve"> involved in conservation and agriculture will be able to better understand patterns of pollination provision and emerging risks to pollination supply.</w:t>
      </w:r>
    </w:p>
    <w:p w14:paraId="539AAE8A" w14:textId="1AF4DB12" w:rsidR="00360979" w:rsidRDefault="00360979" w:rsidP="00360979">
      <w:pPr>
        <w:pStyle w:val="ListParagraph"/>
        <w:numPr>
          <w:ilvl w:val="0"/>
          <w:numId w:val="5"/>
        </w:numPr>
      </w:pPr>
      <w:r w:rsidRPr="00360979">
        <w:rPr>
          <w:b/>
          <w:bCs/>
        </w:rPr>
        <w:t xml:space="preserve">Individual </w:t>
      </w:r>
      <w:r w:rsidR="00211FFA">
        <w:rPr>
          <w:b/>
          <w:bCs/>
        </w:rPr>
        <w:t>agriculturalists</w:t>
      </w:r>
      <w:r>
        <w:t xml:space="preserve"> will be able to better understand patterns of pollination provision and emerging risks to pollination supply. </w:t>
      </w:r>
      <w:r w:rsidR="00F46326">
        <w:t>With detailed spatial data on pollination, farmers can also understand how they benefit from and provide benefits to adjacent landowners, which could facilitate more efficient conservation outcomes.</w:t>
      </w:r>
      <w:r w:rsidR="00E50F3A">
        <w:rPr>
          <w:rStyle w:val="FootnoteReference"/>
        </w:rPr>
        <w:footnoteReference w:id="16"/>
      </w:r>
    </w:p>
    <w:p w14:paraId="1B16038A" w14:textId="20F866B2" w:rsidR="00360979" w:rsidRDefault="00FC54B4" w:rsidP="454E3BDF">
      <w:r>
        <w:rPr>
          <w:noProof/>
        </w:rPr>
        <w:lastRenderedPageBreak/>
        <mc:AlternateContent>
          <mc:Choice Requires="wps">
            <w:drawing>
              <wp:anchor distT="45720" distB="45720" distL="114300" distR="114300" simplePos="0" relativeHeight="251658240" behindDoc="0" locked="0" layoutInCell="1" allowOverlap="1" wp14:anchorId="59B35EBD" wp14:editId="3E008116">
                <wp:simplePos x="0" y="0"/>
                <wp:positionH relativeFrom="column">
                  <wp:posOffset>33655</wp:posOffset>
                </wp:positionH>
                <wp:positionV relativeFrom="paragraph">
                  <wp:posOffset>844550</wp:posOffset>
                </wp:positionV>
                <wp:extent cx="5906135" cy="2830830"/>
                <wp:effectExtent l="0" t="0" r="1841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6135" cy="2830830"/>
                        </a:xfrm>
                        <a:prstGeom prst="rect">
                          <a:avLst/>
                        </a:prstGeom>
                        <a:solidFill>
                          <a:srgbClr val="FFFFFF"/>
                        </a:solidFill>
                        <a:ln w="9525">
                          <a:solidFill>
                            <a:srgbClr val="000000"/>
                          </a:solidFill>
                          <a:miter lim="800000"/>
                          <a:headEnd/>
                          <a:tailEnd/>
                        </a:ln>
                      </wps:spPr>
                      <wps:txbx>
                        <w:txbxContent>
                          <w:p w14:paraId="5BC06CC5" w14:textId="5A90F665" w:rsidR="00FC54B4" w:rsidRPr="00FC54B4" w:rsidRDefault="00FC54B4" w:rsidP="00FC54B4">
                            <w:pPr>
                              <w:rPr>
                                <w:sz w:val="20"/>
                                <w:szCs w:val="20"/>
                              </w:rPr>
                            </w:pPr>
                            <w:r w:rsidRPr="00FC54B4">
                              <w:rPr>
                                <w:b/>
                                <w:bCs/>
                                <w:sz w:val="20"/>
                                <w:szCs w:val="20"/>
                              </w:rPr>
                              <w:t>Box 1. Key definitions</w:t>
                            </w:r>
                            <w:r>
                              <w:rPr>
                                <w:sz w:val="20"/>
                                <w:szCs w:val="20"/>
                              </w:rPr>
                              <w:t xml:space="preserve"> (Source: </w:t>
                            </w:r>
                            <w:r w:rsidR="00990DC5">
                              <w:rPr>
                                <w:sz w:val="20"/>
                                <w:szCs w:val="20"/>
                              </w:rPr>
                              <w:t xml:space="preserve">adapted from </w:t>
                            </w:r>
                            <w:r w:rsidRPr="00FC54B4">
                              <w:rPr>
                                <w:sz w:val="20"/>
                                <w:szCs w:val="20"/>
                              </w:rPr>
                              <w:t xml:space="preserve">Appendix B, Common terms &amp; definitions, from: </w:t>
                            </w:r>
                            <w:hyperlink r:id="rId11" w:history="1">
                              <w:r w:rsidRPr="00FC54B4">
                                <w:rPr>
                                  <w:rStyle w:val="Hyperlink"/>
                                  <w:sz w:val="20"/>
                                  <w:szCs w:val="20"/>
                                </w:rPr>
                                <w:t>https://www.usda.gov/sites/default/files/documents/annual-pollinator-report-2022.pdf</w:t>
                              </w:r>
                            </w:hyperlink>
                            <w:r>
                              <w:rPr>
                                <w:sz w:val="20"/>
                                <w:szCs w:val="20"/>
                              </w:rPr>
                              <w:t>)</w:t>
                            </w:r>
                          </w:p>
                          <w:p w14:paraId="764B3E53" w14:textId="1A0D749C" w:rsidR="00FC54B4" w:rsidRPr="00FC54B4" w:rsidRDefault="00FC54B4" w:rsidP="00FC54B4">
                            <w:pPr>
                              <w:pStyle w:val="CommentText"/>
                            </w:pPr>
                            <w:r w:rsidRPr="00FC54B4">
                              <w:rPr>
                                <w:b/>
                                <w:bCs/>
                              </w:rPr>
                              <w:t>Commercial Pollinators</w:t>
                            </w:r>
                            <w:r w:rsidRPr="00FC54B4">
                              <w:t xml:space="preserve">: Commercial pollinators are available </w:t>
                            </w:r>
                            <w:r w:rsidR="00990DC5">
                              <w:t xml:space="preserve">to rent or purchase (e.g., honey bees, leaf cutter bees) </w:t>
                            </w:r>
                            <w:r w:rsidRPr="00FC54B4">
                              <w:t xml:space="preserve">for </w:t>
                            </w:r>
                            <w:r w:rsidR="00990DC5">
                              <w:t xml:space="preserve">the purpose of </w:t>
                            </w:r>
                            <w:r w:rsidRPr="00FC54B4">
                              <w:t>crop pollination. This differs from managed pollinators, see below, which may or may not be used for commercial purposes.</w:t>
                            </w:r>
                          </w:p>
                          <w:p w14:paraId="662E8A58" w14:textId="77777777" w:rsidR="00FC54B4" w:rsidRPr="00FC54B4" w:rsidRDefault="00FC54B4" w:rsidP="00FC54B4">
                            <w:pPr>
                              <w:pStyle w:val="CommentText"/>
                            </w:pPr>
                            <w:r w:rsidRPr="00FC54B4">
                              <w:rPr>
                                <w:b/>
                                <w:bCs/>
                              </w:rPr>
                              <w:t>Managed Pollinators</w:t>
                            </w:r>
                            <w:r w:rsidRPr="00FC54B4">
                              <w:t xml:space="preserve">: Managed pollinators encompasses both pollinators that are utilized for commercial purposes and those that are intentionally utilized for pollination services on agricultural lands. Wild bees that visit agricultural lands by happenstance are not considered managed pollinators. </w:t>
                            </w:r>
                          </w:p>
                          <w:p w14:paraId="1E5ACD8B" w14:textId="6C184AC3" w:rsidR="00FC54B4" w:rsidRPr="00FC54B4" w:rsidRDefault="00FC54B4" w:rsidP="00FC54B4">
                            <w:pPr>
                              <w:pStyle w:val="CommentText"/>
                            </w:pPr>
                            <w:r w:rsidRPr="00FC54B4">
                              <w:rPr>
                                <w:b/>
                                <w:bCs/>
                              </w:rPr>
                              <w:t>Native Pollinators</w:t>
                            </w:r>
                            <w:r w:rsidRPr="00FC54B4">
                              <w:t xml:space="preserve">: Pollinators that are endemic to a particular area or region. For the purposes of this report, native species are those whose origins are at least partially located with the borders of the United States. A common taxonomic authority for defining the origin of species in the United States is the </w:t>
                            </w:r>
                            <w:hyperlink r:id="rId12" w:history="1">
                              <w:r w:rsidRPr="001518FA">
                                <w:rPr>
                                  <w:rStyle w:val="Hyperlink"/>
                                </w:rPr>
                                <w:t>Integrated Taxonomic Information System</w:t>
                              </w:r>
                            </w:hyperlink>
                            <w:r w:rsidRPr="00FC54B4">
                              <w:t>.</w:t>
                            </w:r>
                          </w:p>
                          <w:p w14:paraId="54D71EAB" w14:textId="1C8C2218" w:rsidR="00FC54B4" w:rsidRPr="00FC54B4" w:rsidRDefault="00FC54B4" w:rsidP="00FC54B4">
                            <w:pPr>
                              <w:rPr>
                                <w:sz w:val="20"/>
                                <w:szCs w:val="20"/>
                              </w:rPr>
                            </w:pPr>
                            <w:r w:rsidRPr="00FC54B4">
                              <w:rPr>
                                <w:b/>
                                <w:bCs/>
                                <w:sz w:val="20"/>
                                <w:szCs w:val="20"/>
                              </w:rPr>
                              <w:t>Wild or Unmanaged Pollinators</w:t>
                            </w:r>
                            <w:r w:rsidRPr="00FC54B4">
                              <w:rPr>
                                <w:sz w:val="20"/>
                                <w:szCs w:val="20"/>
                              </w:rPr>
                              <w:t>: Pollinators that are not managed for commercial purposes. This can include both native and non-native pollinator species.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59B35EBD">
                <v:stroke joinstyle="miter"/>
                <v:path gradientshapeok="t" o:connecttype="rect"/>
              </v:shapetype>
              <v:shape id="Text Box 2" style="position:absolute;margin-left:2.65pt;margin-top:66.5pt;width:465.05pt;height:222.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">
                <v:textbox>
                  <w:txbxContent>
                    <w:p w:rsidRPr="00FC54B4" w:rsidR="00FC54B4" w:rsidP="00FC54B4" w:rsidRDefault="00FC54B4" w14:paraId="5BC06CC5" w14:textId="5A90F665">
                      <w:pPr>
                        <w:rPr>
                          <w:sz w:val="20"/>
                          <w:szCs w:val="20"/>
                        </w:rPr>
                      </w:pPr>
                      <w:r w:rsidRPr="00FC54B4">
                        <w:rPr>
                          <w:b/>
                          <w:bCs/>
                          <w:sz w:val="20"/>
                          <w:szCs w:val="20"/>
                        </w:rPr>
                        <w:t>Box 1. Key definitions</w:t>
                      </w:r>
                      <w:r>
                        <w:rPr>
                          <w:sz w:val="20"/>
                          <w:szCs w:val="20"/>
                        </w:rPr>
                        <w:t xml:space="preserve"> (Source: </w:t>
                      </w:r>
                      <w:r w:rsidR="00990DC5">
                        <w:rPr>
                          <w:sz w:val="20"/>
                          <w:szCs w:val="20"/>
                        </w:rPr>
                        <w:t xml:space="preserve">adapted from </w:t>
                      </w:r>
                      <w:r w:rsidRPr="00FC54B4">
                        <w:rPr>
                          <w:sz w:val="20"/>
                          <w:szCs w:val="20"/>
                        </w:rPr>
                        <w:t xml:space="preserve">Appendix B, Common terms &amp; definitions, from: </w:t>
                      </w:r>
                      <w:hyperlink w:history="1" r:id="rId13">
                        <w:r w:rsidRPr="00FC54B4">
                          <w:rPr>
                            <w:rStyle w:val="Hyperlink"/>
                            <w:sz w:val="20"/>
                            <w:szCs w:val="20"/>
                          </w:rPr>
                          <w:t>https://www.usda.gov/sites/default/files/documents/annual-pollinator-report-2022.pdf</w:t>
                        </w:r>
                      </w:hyperlink>
                      <w:r>
                        <w:rPr>
                          <w:sz w:val="20"/>
                          <w:szCs w:val="20"/>
                        </w:rPr>
                        <w:t>)</w:t>
                      </w:r>
                    </w:p>
                    <w:p w:rsidRPr="00FC54B4" w:rsidR="00FC54B4" w:rsidP="00FC54B4" w:rsidRDefault="00FC54B4" w14:paraId="764B3E53" w14:textId="1A0D749C">
                      <w:pPr>
                        <w:pStyle w:val="CommentText"/>
                      </w:pPr>
                      <w:r w:rsidRPr="00FC54B4">
                        <w:rPr>
                          <w:b/>
                          <w:bCs/>
                        </w:rPr>
                        <w:t>Commercial Pollinators</w:t>
                      </w:r>
                      <w:r w:rsidRPr="00FC54B4">
                        <w:t xml:space="preserve">: Commercial pollinators are available </w:t>
                      </w:r>
                      <w:r w:rsidR="00990DC5">
                        <w:t xml:space="preserve">to rent or purchase (e.g., </w:t>
                      </w:r>
                      <w:proofErr w:type="gramStart"/>
                      <w:r w:rsidR="00990DC5">
                        <w:t>honey bees</w:t>
                      </w:r>
                      <w:proofErr w:type="gramEnd"/>
                      <w:r w:rsidR="00990DC5">
                        <w:t xml:space="preserve">, leaf cutter bees) </w:t>
                      </w:r>
                      <w:r w:rsidRPr="00FC54B4">
                        <w:t xml:space="preserve">for </w:t>
                      </w:r>
                      <w:r w:rsidR="00990DC5">
                        <w:t xml:space="preserve">the purpose of </w:t>
                      </w:r>
                      <w:r w:rsidRPr="00FC54B4">
                        <w:t>crop pollination. This differs from managed pollinators, see below, which may or may not be used for commercial purposes.</w:t>
                      </w:r>
                    </w:p>
                    <w:p w:rsidRPr="00FC54B4" w:rsidR="00FC54B4" w:rsidP="00FC54B4" w:rsidRDefault="00FC54B4" w14:paraId="662E8A58" w14:textId="77777777">
                      <w:pPr>
                        <w:pStyle w:val="CommentText"/>
                      </w:pPr>
                      <w:r w:rsidRPr="00FC54B4">
                        <w:rPr>
                          <w:b/>
                          <w:bCs/>
                        </w:rPr>
                        <w:t>Managed Pollinators</w:t>
                      </w:r>
                      <w:r w:rsidRPr="00FC54B4">
                        <w:t xml:space="preserve">: Managed pollinators encompasses both pollinators that are utilized for commercial purposes and those that are intentionally utilized for pollination services on agricultural lands. Wild bees that visit agricultural lands by happenstance are not considered managed pollinators. </w:t>
                      </w:r>
                    </w:p>
                    <w:p w:rsidRPr="00FC54B4" w:rsidR="00FC54B4" w:rsidP="00FC54B4" w:rsidRDefault="00FC54B4" w14:paraId="1E5ACD8B" w14:textId="6C184AC3">
                      <w:pPr>
                        <w:pStyle w:val="CommentText"/>
                      </w:pPr>
                      <w:r w:rsidRPr="00FC54B4">
                        <w:rPr>
                          <w:b/>
                          <w:bCs/>
                        </w:rPr>
                        <w:t>Native Pollinators</w:t>
                      </w:r>
                      <w:r w:rsidRPr="00FC54B4">
                        <w:t xml:space="preserve">: Pollinators that are endemic to a particular area or region. For the purposes of this report, native species are those whose origins are at least partially located with the borders of the United States. A common taxonomic authority for defining the origin of species in the United States is the </w:t>
                      </w:r>
                      <w:hyperlink w:history="1" r:id="rId14">
                        <w:r w:rsidRPr="001518FA">
                          <w:rPr>
                            <w:rStyle w:val="Hyperlink"/>
                          </w:rPr>
                          <w:t>Integrated Taxonomic Information System</w:t>
                        </w:r>
                      </w:hyperlink>
                      <w:r w:rsidRPr="00FC54B4">
                        <w:t>.</w:t>
                      </w:r>
                    </w:p>
                    <w:p w:rsidRPr="00FC54B4" w:rsidR="00FC54B4" w:rsidP="00FC54B4" w:rsidRDefault="00FC54B4" w14:paraId="54D71EAB" w14:textId="1C8C2218">
                      <w:pPr>
                        <w:rPr>
                          <w:sz w:val="20"/>
                          <w:szCs w:val="20"/>
                        </w:rPr>
                      </w:pPr>
                      <w:r w:rsidRPr="00FC54B4">
                        <w:rPr>
                          <w:b/>
                          <w:bCs/>
                          <w:sz w:val="20"/>
                          <w:szCs w:val="20"/>
                        </w:rPr>
                        <w:t>Wild or Unmanaged Pollinators</w:t>
                      </w:r>
                      <w:r w:rsidRPr="00FC54B4">
                        <w:rPr>
                          <w:sz w:val="20"/>
                          <w:szCs w:val="20"/>
                        </w:rPr>
                        <w:t>: Pollinators that are not managed for commercial purposes. This can include both native and non-native pollinator species.</w:t>
                      </w:r>
                    </w:p>
                  </w:txbxContent>
                </v:textbox>
                <w10:wrap type="square"/>
              </v:shape>
            </w:pict>
          </mc:Fallback>
        </mc:AlternateContent>
      </w:r>
      <w:r w:rsidR="01EB12C3">
        <w:t xml:space="preserve">For all of these </w:t>
      </w:r>
      <w:r w:rsidR="0AEB6D36">
        <w:t>users</w:t>
      </w:r>
      <w:r w:rsidR="01EB12C3">
        <w:t xml:space="preserve">, crop pollination accounts will provide a much more complete view over both time and space of past and present patterns of crop pollination, its value, and risks and opportunities to enhance </w:t>
      </w:r>
      <w:r w:rsidR="57F553E5">
        <w:t>crop pollination and the quality, volume, and reliability of harvests of pollination-dependent crops.</w:t>
      </w:r>
      <w:r w:rsidR="5B23A062">
        <w:t xml:space="preserve"> In addition to developing supply and use tables for crop pollination, </w:t>
      </w:r>
      <w:r w:rsidR="00A70144">
        <w:t>physical</w:t>
      </w:r>
      <w:r w:rsidR="5B23A062">
        <w:t xml:space="preserve"> accounts for pollination c</w:t>
      </w:r>
      <w:r w:rsidR="5B23A062" w:rsidRPr="454E3BDF">
        <w:t>an be developed to ass</w:t>
      </w:r>
      <w:r w:rsidR="311ACEA9" w:rsidRPr="454E3BDF">
        <w:t xml:space="preserve">ess </w:t>
      </w:r>
      <w:r w:rsidR="00A70144">
        <w:t>the health status of pollinator populations</w:t>
      </w:r>
      <w:r w:rsidR="00E133E0">
        <w:t xml:space="preserve">. If the data needed to produce such accounts become available, these accounts could assess </w:t>
      </w:r>
      <w:r w:rsidR="00A70144">
        <w:t xml:space="preserve">e.g., </w:t>
      </w:r>
      <w:r w:rsidR="311ACEA9" w:rsidRPr="454E3BDF">
        <w:t xml:space="preserve">(1) displacement of wild pollinators by managed pollinators, (2) pesticide load and disease burden affecting wild and </w:t>
      </w:r>
      <w:r w:rsidR="63F3BAF8" w:rsidRPr="454E3BDF">
        <w:t xml:space="preserve">managed pollinators, and </w:t>
      </w:r>
      <w:r w:rsidR="00E133E0">
        <w:t xml:space="preserve">(3) </w:t>
      </w:r>
      <w:r w:rsidR="63F3BAF8" w:rsidRPr="454E3BDF">
        <w:t xml:space="preserve">any other relevant accounts that do not </w:t>
      </w:r>
      <w:r w:rsidR="4D7AC0D7" w:rsidRPr="454E3BDF">
        <w:t>yet have quantifiable links to supply and use but which provide useful information on health of pollinator populations.</w:t>
      </w:r>
      <w:r w:rsidR="00A70144">
        <w:rPr>
          <w:rStyle w:val="FootnoteReference"/>
        </w:rPr>
        <w:footnoteReference w:id="17"/>
      </w:r>
    </w:p>
    <w:p w14:paraId="67B8F1E5" w14:textId="0E74ED71" w:rsidR="001B0E01" w:rsidRDefault="6596E146" w:rsidP="00A35E4A">
      <w:r>
        <w:rPr>
          <w:noProof/>
        </w:rPr>
        <w:lastRenderedPageBreak/>
        <w:drawing>
          <wp:anchor distT="0" distB="0" distL="114300" distR="114300" simplePos="0" relativeHeight="251658241" behindDoc="0" locked="0" layoutInCell="1" allowOverlap="1" wp14:anchorId="28D48F16" wp14:editId="25FFE595">
            <wp:simplePos x="0" y="0"/>
            <wp:positionH relativeFrom="column">
              <wp:align>left</wp:align>
            </wp:positionH>
            <wp:positionV relativeFrom="paragraph">
              <wp:posOffset>0</wp:posOffset>
            </wp:positionV>
            <wp:extent cx="4567809" cy="3194050"/>
            <wp:effectExtent l="0" t="0" r="4445" b="6350"/>
            <wp:wrapSquare wrapText="bothSides"/>
            <wp:docPr id="96558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4567809" cy="3194050"/>
                    </a:xfrm>
                    <a:prstGeom prst="rect">
                      <a:avLst/>
                    </a:prstGeom>
                  </pic:spPr>
                </pic:pic>
              </a:graphicData>
            </a:graphic>
            <wp14:sizeRelH relativeFrom="page">
              <wp14:pctWidth>0</wp14:pctWidth>
            </wp14:sizeRelH>
            <wp14:sizeRelV relativeFrom="page">
              <wp14:pctHeight>0</wp14:pctHeight>
            </wp14:sizeRelV>
          </wp:anchor>
        </w:drawing>
      </w:r>
    </w:p>
    <w:p w14:paraId="38AF9758" w14:textId="6E1A7B16" w:rsidR="00B30008" w:rsidRDefault="21647807" w:rsidP="00A35E4A">
      <w:r w:rsidRPr="454E3BDF">
        <w:rPr>
          <w:b/>
          <w:bCs/>
        </w:rPr>
        <w:t>Figure 1.</w:t>
      </w:r>
      <w:r>
        <w:t xml:space="preserve"> Conceptual scope of pollination accounts. Yellow indicates pollination-dependent crop fields, and green</w:t>
      </w:r>
      <w:r w:rsidR="7430AC08">
        <w:t>,</w:t>
      </w:r>
      <w:r>
        <w:t xml:space="preserve"> ecosystems providing support to pollinator populations. Black </w:t>
      </w:r>
      <w:r w:rsidR="501BAA9E">
        <w:t>arrows</w:t>
      </w:r>
      <w:r>
        <w:t xml:space="preserve"> indicate movement of pollinators. The hive and tree icons represent managed pollinator hives and harvested wild, pollination-dependent plant species (</w:t>
      </w:r>
      <w:r w:rsidRPr="0056448A">
        <w:rPr>
          <w:i/>
          <w:iCs/>
        </w:rPr>
        <w:t>i.e</w:t>
      </w:r>
      <w:r>
        <w:t>., trees or other species), respectively. Ecosystems support (1) wild pollination to nearby fields of pollination-dependent crops</w:t>
      </w:r>
      <w:r w:rsidR="75905ED0">
        <w:t xml:space="preserve"> (including crops used for food, forage, or </w:t>
      </w:r>
      <w:r w:rsidR="5F3A8D16">
        <w:t>nursery/</w:t>
      </w:r>
      <w:r w:rsidR="75905ED0">
        <w:t>horticultural purposes)</w:t>
      </w:r>
      <w:r>
        <w:t>, (2) forage to improve the health of managed pollinator colonies, and (3) wild pollination of pollination-dependent timber or other wild species of value.</w:t>
      </w:r>
    </w:p>
    <w:p w14:paraId="3A5EB35A" w14:textId="0ED5FD7F" w:rsidR="000C167D" w:rsidRPr="000C167D" w:rsidRDefault="000C167D" w:rsidP="00834E89">
      <w:pPr>
        <w:pStyle w:val="CommentText"/>
        <w:rPr>
          <w:sz w:val="22"/>
          <w:szCs w:val="22"/>
        </w:rPr>
      </w:pPr>
      <w:r>
        <w:rPr>
          <w:sz w:val="22"/>
          <w:szCs w:val="22"/>
        </w:rPr>
        <w:t xml:space="preserve">Several important economic values related to pollinators lie outside the scope of </w:t>
      </w:r>
      <w:r w:rsidR="00153D36">
        <w:rPr>
          <w:sz w:val="22"/>
          <w:szCs w:val="22"/>
        </w:rPr>
        <w:t xml:space="preserve">these </w:t>
      </w:r>
      <w:r>
        <w:rPr>
          <w:sz w:val="22"/>
          <w:szCs w:val="22"/>
        </w:rPr>
        <w:t>pollination account</w:t>
      </w:r>
      <w:r w:rsidR="00153D36">
        <w:rPr>
          <w:sz w:val="22"/>
          <w:szCs w:val="22"/>
        </w:rPr>
        <w:t>s</w:t>
      </w:r>
      <w:r>
        <w:rPr>
          <w:sz w:val="22"/>
          <w:szCs w:val="22"/>
        </w:rPr>
        <w:t xml:space="preserve"> but could </w:t>
      </w:r>
      <w:r w:rsidR="00C00FC6">
        <w:rPr>
          <w:sz w:val="22"/>
          <w:szCs w:val="22"/>
        </w:rPr>
        <w:t xml:space="preserve">potentially </w:t>
      </w:r>
      <w:r>
        <w:rPr>
          <w:sz w:val="22"/>
          <w:szCs w:val="22"/>
        </w:rPr>
        <w:t xml:space="preserve">be addressed in related portions of the </w:t>
      </w:r>
      <w:r w:rsidR="00CA3B56">
        <w:rPr>
          <w:sz w:val="22"/>
          <w:szCs w:val="22"/>
        </w:rPr>
        <w:t>Statistics</w:t>
      </w:r>
      <w:r>
        <w:rPr>
          <w:sz w:val="22"/>
          <w:szCs w:val="22"/>
        </w:rPr>
        <w:t xml:space="preserve"> for Environmental-Economic Decisions. First, many pollinator species’ populations are at risk. There is significant and well-recognized value to keeping species off the</w:t>
      </w:r>
      <w:r w:rsidR="00141E20">
        <w:rPr>
          <w:sz w:val="22"/>
          <w:szCs w:val="22"/>
        </w:rPr>
        <w:t xml:space="preserve"> federally</w:t>
      </w:r>
      <w:r>
        <w:rPr>
          <w:sz w:val="22"/>
          <w:szCs w:val="22"/>
        </w:rPr>
        <w:t xml:space="preserve"> Threatened and Endangered Species List, though it is difficult to precisely quantify that value</w:t>
      </w:r>
      <w:r w:rsidR="0056503E">
        <w:rPr>
          <w:sz w:val="22"/>
          <w:szCs w:val="22"/>
        </w:rPr>
        <w:t xml:space="preserve"> and the Endangered Species Act is specifically written to exclude economic considerations</w:t>
      </w:r>
      <w:r>
        <w:rPr>
          <w:sz w:val="22"/>
          <w:szCs w:val="22"/>
        </w:rPr>
        <w:t xml:space="preserve">. Particularly for species that are poor pollinators, </w:t>
      </w:r>
      <w:r w:rsidR="00CA3B56">
        <w:rPr>
          <w:sz w:val="22"/>
          <w:szCs w:val="22"/>
        </w:rPr>
        <w:t xml:space="preserve">money spent on conserving their habitats, which produces benefits for economically beneficial pollinators, could be tracked through the Environmental Activity Accounts. </w:t>
      </w:r>
      <w:r w:rsidR="00C00FC6">
        <w:rPr>
          <w:sz w:val="22"/>
          <w:szCs w:val="22"/>
        </w:rPr>
        <w:t>Second</w:t>
      </w:r>
      <w:r w:rsidR="00263C6C">
        <w:rPr>
          <w:sz w:val="22"/>
          <w:szCs w:val="22"/>
        </w:rPr>
        <w:t>, pollinators support</w:t>
      </w:r>
      <w:r w:rsidR="00E74953">
        <w:rPr>
          <w:sz w:val="22"/>
          <w:szCs w:val="22"/>
        </w:rPr>
        <w:t xml:space="preserve"> a wide range of wild plants providing</w:t>
      </w:r>
      <w:r w:rsidR="49B8B9C4">
        <w:rPr>
          <w:sz w:val="22"/>
          <w:szCs w:val="22"/>
        </w:rPr>
        <w:t xml:space="preserve"> other</w:t>
      </w:r>
      <w:r w:rsidR="00E74953">
        <w:rPr>
          <w:sz w:val="22"/>
          <w:szCs w:val="22"/>
        </w:rPr>
        <w:t xml:space="preserve"> ecosystem service</w:t>
      </w:r>
      <w:r w:rsidR="000110A9">
        <w:rPr>
          <w:sz w:val="22"/>
          <w:szCs w:val="22"/>
        </w:rPr>
        <w:t xml:space="preserve">s such as soil erosion control and climate regulation, </w:t>
      </w:r>
      <w:r w:rsidR="000110A9" w:rsidRPr="00E27E59">
        <w:rPr>
          <w:i/>
          <w:iCs/>
          <w:sz w:val="22"/>
          <w:szCs w:val="22"/>
        </w:rPr>
        <w:t>i.e</w:t>
      </w:r>
      <w:r w:rsidR="000110A9">
        <w:rPr>
          <w:sz w:val="22"/>
          <w:szCs w:val="22"/>
        </w:rPr>
        <w:t>., carbon storage</w:t>
      </w:r>
      <w:r w:rsidR="00E74953">
        <w:rPr>
          <w:sz w:val="22"/>
          <w:szCs w:val="22"/>
        </w:rPr>
        <w:t>.</w:t>
      </w:r>
      <w:r w:rsidR="000110A9">
        <w:rPr>
          <w:rStyle w:val="FootnoteReference"/>
          <w:sz w:val="22"/>
          <w:szCs w:val="22"/>
        </w:rPr>
        <w:footnoteReference w:id="18"/>
      </w:r>
      <w:r w:rsidR="00E74953">
        <w:rPr>
          <w:sz w:val="22"/>
          <w:szCs w:val="22"/>
        </w:rPr>
        <w:t xml:space="preserve"> </w:t>
      </w:r>
      <w:r w:rsidR="00263C6C">
        <w:rPr>
          <w:sz w:val="22"/>
          <w:szCs w:val="22"/>
        </w:rPr>
        <w:t xml:space="preserve">Due to data and conceptual challenges, </w:t>
      </w:r>
      <w:r w:rsidR="00294E6A">
        <w:rPr>
          <w:sz w:val="22"/>
          <w:szCs w:val="22"/>
        </w:rPr>
        <w:t xml:space="preserve">for the time being </w:t>
      </w:r>
      <w:r w:rsidR="00263C6C">
        <w:rPr>
          <w:sz w:val="22"/>
          <w:szCs w:val="22"/>
        </w:rPr>
        <w:t>it is likely that these values will remain excluded from</w:t>
      </w:r>
      <w:r w:rsidR="00E74953">
        <w:rPr>
          <w:sz w:val="22"/>
          <w:szCs w:val="22"/>
        </w:rPr>
        <w:t xml:space="preserve"> </w:t>
      </w:r>
      <w:r w:rsidR="00294E6A">
        <w:rPr>
          <w:sz w:val="22"/>
          <w:szCs w:val="22"/>
        </w:rPr>
        <w:t>pollination</w:t>
      </w:r>
      <w:r w:rsidR="00E74953">
        <w:rPr>
          <w:sz w:val="22"/>
          <w:szCs w:val="22"/>
        </w:rPr>
        <w:t xml:space="preserve"> accounts.</w:t>
      </w:r>
      <w:r w:rsidR="00CB15F1">
        <w:rPr>
          <w:sz w:val="22"/>
          <w:szCs w:val="22"/>
        </w:rPr>
        <w:t xml:space="preserve"> </w:t>
      </w:r>
      <w:r w:rsidR="00CB15F1" w:rsidRPr="00CB15F1">
        <w:rPr>
          <w:sz w:val="22"/>
          <w:szCs w:val="22"/>
        </w:rPr>
        <w:t>Finally, other end products from managed bees (e.g., honey, wax and propolis) are excluded from pollination accounts, but the contributions of wild forage to those end products could be included elsewhere in the natural capital accounts.</w:t>
      </w:r>
    </w:p>
    <w:p w14:paraId="64BD9B4E" w14:textId="38F8A0B1" w:rsidR="00A35E4A" w:rsidRDefault="00A35E4A" w:rsidP="00A35E4A">
      <w:pPr>
        <w:pStyle w:val="Heading2"/>
      </w:pPr>
      <w:r>
        <w:t xml:space="preserve">State of work on </w:t>
      </w:r>
      <w:r w:rsidR="00343E91">
        <w:t>pollination</w:t>
      </w:r>
    </w:p>
    <w:p w14:paraId="5DEBDE28" w14:textId="56FE98CB" w:rsidR="002B4F12" w:rsidRDefault="00AA2459" w:rsidP="00A35E4A">
      <w:r>
        <w:t xml:space="preserve">Given the importance of wild pollination, </w:t>
      </w:r>
      <w:r w:rsidR="00CF0665">
        <w:t>research in this area has</w:t>
      </w:r>
      <w:r w:rsidR="00D85A9F">
        <w:t xml:space="preserve"> been very active</w:t>
      </w:r>
      <w:r w:rsidR="005B3B5D">
        <w:t xml:space="preserve">, </w:t>
      </w:r>
      <w:r w:rsidR="00D85A9F">
        <w:t>with abundant field studies</w:t>
      </w:r>
      <w:r w:rsidR="00E133E0">
        <w:t>,</w:t>
      </w:r>
      <w:r w:rsidR="008B6E90">
        <w:t xml:space="preserve"> </w:t>
      </w:r>
      <w:r w:rsidR="00D85A9F">
        <w:t xml:space="preserve">which quantify differences in pollination-dependent crop quantities and quality in the presence </w:t>
      </w:r>
      <w:r w:rsidR="00D85A9F">
        <w:lastRenderedPageBreak/>
        <w:t>of different levels of pollination</w:t>
      </w:r>
      <w:r w:rsidR="00E133E0">
        <w:t>.</w:t>
      </w:r>
      <w:r w:rsidR="008B6E90" w:rsidRPr="00E50F3A">
        <w:rPr>
          <w:rStyle w:val="FootnoteReference"/>
        </w:rPr>
        <w:footnoteReference w:id="19"/>
      </w:r>
      <w:r w:rsidR="008B6E90" w:rsidRPr="00E50F3A">
        <w:rPr>
          <w:vertAlign w:val="superscript"/>
        </w:rPr>
        <w:t>,</w:t>
      </w:r>
      <w:r w:rsidR="008B6E90" w:rsidRPr="00E50F3A">
        <w:rPr>
          <w:rStyle w:val="FootnoteReference"/>
        </w:rPr>
        <w:footnoteReference w:id="20"/>
      </w:r>
      <w:r w:rsidR="00E50F3A" w:rsidRPr="00E50F3A">
        <w:rPr>
          <w:vertAlign w:val="superscript"/>
        </w:rPr>
        <w:t>,</w:t>
      </w:r>
      <w:r w:rsidR="00E50F3A" w:rsidRPr="00E50F3A">
        <w:rPr>
          <w:rStyle w:val="FootnoteReference"/>
        </w:rPr>
        <w:footnoteReference w:id="21"/>
      </w:r>
      <w:r w:rsidR="00E50F3A" w:rsidRPr="00E50F3A">
        <w:rPr>
          <w:vertAlign w:val="superscript"/>
        </w:rPr>
        <w:t>,</w:t>
      </w:r>
      <w:r w:rsidR="00E50F3A">
        <w:rPr>
          <w:rStyle w:val="FootnoteReference"/>
        </w:rPr>
        <w:footnoteReference w:id="22"/>
      </w:r>
      <w:r w:rsidR="008B6E90">
        <w:t xml:space="preserve"> </w:t>
      </w:r>
      <w:r w:rsidR="00E133E0">
        <w:t>E</w:t>
      </w:r>
      <w:r w:rsidR="005B3B5D">
        <w:t>fforts to</w:t>
      </w:r>
      <w:r w:rsidR="00D85A9F">
        <w:t xml:space="preserve"> </w:t>
      </w:r>
      <w:r w:rsidR="00E133E0">
        <w:t xml:space="preserve">synthesize </w:t>
      </w:r>
      <w:r w:rsidR="00D85A9F">
        <w:t xml:space="preserve">these </w:t>
      </w:r>
      <w:r w:rsidR="00E133E0">
        <w:t xml:space="preserve">relatively disjointed </w:t>
      </w:r>
      <w:r w:rsidR="00D85A9F">
        <w:t>field experiments</w:t>
      </w:r>
      <w:r w:rsidR="00E133E0">
        <w:rPr>
          <w:rStyle w:val="FootnoteReference"/>
        </w:rPr>
        <w:footnoteReference w:id="23"/>
      </w:r>
      <w:r w:rsidR="00D85A9F">
        <w:t xml:space="preserve"> to quantify </w:t>
      </w:r>
      <w:r w:rsidR="005B3B5D">
        <w:t>landscape</w:t>
      </w:r>
      <w:r w:rsidR="00366FF3">
        <w:t>-</w:t>
      </w:r>
      <w:r w:rsidR="005B3B5D">
        <w:t xml:space="preserve"> or national-scale </w:t>
      </w:r>
      <w:r w:rsidR="00D85A9F">
        <w:t>patterns</w:t>
      </w:r>
      <w:r w:rsidR="008B6E90" w:rsidRPr="008B6E90">
        <w:rPr>
          <w:rStyle w:val="FootnoteReference"/>
        </w:rPr>
        <w:footnoteReference w:id="24"/>
      </w:r>
      <w:r w:rsidR="008B6E90" w:rsidRPr="008B6E90">
        <w:rPr>
          <w:vertAlign w:val="superscript"/>
        </w:rPr>
        <w:t>,</w:t>
      </w:r>
      <w:r w:rsidR="008B6E90">
        <w:rPr>
          <w:rStyle w:val="FootnoteReference"/>
        </w:rPr>
        <w:footnoteReference w:id="25"/>
      </w:r>
      <w:r w:rsidR="00D85A9F">
        <w:t xml:space="preserve"> </w:t>
      </w:r>
      <w:r w:rsidR="00E133E0" w:rsidRPr="00E133E0">
        <w:t xml:space="preserve"> </w:t>
      </w:r>
      <w:r w:rsidR="00E133E0">
        <w:t>are particularly important. Such syntheses</w:t>
      </w:r>
      <w:r w:rsidR="00D85A9F">
        <w:t xml:space="preserve"> will be used to build national-scale accounts for wild pollination, </w:t>
      </w:r>
      <w:r w:rsidR="00A42978">
        <w:t xml:space="preserve">and </w:t>
      </w:r>
      <w:r w:rsidR="00D85A9F">
        <w:t>should be informed by the best-available field science.</w:t>
      </w:r>
    </w:p>
    <w:p w14:paraId="5BF0B12A" w14:textId="7B3EB862" w:rsidR="002B4F12" w:rsidRDefault="00A42978" w:rsidP="002B4F12">
      <w:r>
        <w:t xml:space="preserve">The </w:t>
      </w:r>
      <w:r w:rsidR="3BF1088A">
        <w:t xml:space="preserve">USGS has begun development of a pilot crop pollination account that will quantify the monetary value of wild pollination from 2008 to 2020 for the continental U.S. using the pollination model by Lonsdorf </w:t>
      </w:r>
      <w:r w:rsidR="3BF1088A" w:rsidRPr="00E27E59">
        <w:rPr>
          <w:i/>
          <w:iCs/>
        </w:rPr>
        <w:t>et al</w:t>
      </w:r>
      <w:r w:rsidR="3BF1088A">
        <w:t>. (2009),</w:t>
      </w:r>
      <w:r w:rsidR="002B4F12">
        <w:rPr>
          <w:rStyle w:val="FootnoteReference"/>
        </w:rPr>
        <w:footnoteReference w:id="26"/>
      </w:r>
      <w:r w:rsidR="3BF1088A" w:rsidRPr="002B4F12">
        <w:rPr>
          <w:vertAlign w:val="superscript"/>
        </w:rPr>
        <w:t>,</w:t>
      </w:r>
      <w:r w:rsidR="002B4F12">
        <w:rPr>
          <w:rStyle w:val="FootnoteReference"/>
        </w:rPr>
        <w:footnoteReference w:id="27"/>
      </w:r>
      <w:r w:rsidR="3BF1088A">
        <w:t xml:space="preserve"> which is based on data on land cover (National Land Cover Database</w:t>
      </w:r>
      <w:r w:rsidR="3A788085">
        <w:t>, NLCD</w:t>
      </w:r>
      <w:r w:rsidR="3BF1088A">
        <w:t>), crop types (USDA Cropland Data Layer, CDL),</w:t>
      </w:r>
      <w:r w:rsidR="002B4F12">
        <w:rPr>
          <w:rStyle w:val="FootnoteReference"/>
        </w:rPr>
        <w:footnoteReference w:id="28"/>
      </w:r>
      <w:r w:rsidR="3BF1088A">
        <w:t xml:space="preserve"> crop yield and price data from </w:t>
      </w:r>
      <w:r>
        <w:t>the USDA National Agricultural Statistics Service (</w:t>
      </w:r>
      <w:r w:rsidR="3BF1088A">
        <w:t>NASS</w:t>
      </w:r>
      <w:r>
        <w:t>)</w:t>
      </w:r>
      <w:r w:rsidR="3BF1088A">
        <w:t>, and expert-derived coefficients for pollination dependency and pollinator habitat.</w:t>
      </w:r>
      <w:r w:rsidR="002B4F12">
        <w:rPr>
          <w:rStyle w:val="FootnoteReference"/>
        </w:rPr>
        <w:footnoteReference w:id="29"/>
      </w:r>
      <w:r w:rsidR="3BF1088A">
        <w:t xml:space="preserve"> Similar methods have been applied to continental-scale pollination accounting in the European Union.</w:t>
      </w:r>
      <w:r w:rsidR="002B4F12">
        <w:rPr>
          <w:rStyle w:val="FootnoteReference"/>
        </w:rPr>
        <w:footnoteReference w:id="30"/>
      </w:r>
      <w:r w:rsidR="3BF1088A">
        <w:t xml:space="preserve"> A public Python code repository has been developed to enable future account</w:t>
      </w:r>
      <w:r w:rsidR="00153D36">
        <w:t>s</w:t>
      </w:r>
      <w:r w:rsidR="3BF1088A">
        <w:t xml:space="preserve"> compilers to use consistent methods for producing </w:t>
      </w:r>
      <w:r w:rsidR="00F913FC">
        <w:t>System of Environmental-Economic Accounting (</w:t>
      </w:r>
      <w:r w:rsidR="3BF1088A">
        <w:t>SEEA</w:t>
      </w:r>
      <w:r w:rsidR="00F913FC">
        <w:t>)</w:t>
      </w:r>
      <w:r w:rsidR="3BF1088A">
        <w:t>-compatible pollination accounts. A critical dataset in the production of pollination accounts is the</w:t>
      </w:r>
      <w:r w:rsidR="00F913FC">
        <w:t xml:space="preserve"> </w:t>
      </w:r>
      <w:r w:rsidR="00CF0665">
        <w:t>C</w:t>
      </w:r>
      <w:r w:rsidR="00F913FC">
        <w:t>rop</w:t>
      </w:r>
      <w:r w:rsidR="00CF0665">
        <w:t>land</w:t>
      </w:r>
      <w:r w:rsidR="00F913FC">
        <w:t xml:space="preserve"> </w:t>
      </w:r>
      <w:r w:rsidR="00CF0665">
        <w:t>D</w:t>
      </w:r>
      <w:r w:rsidR="00F913FC">
        <w:t xml:space="preserve">ata </w:t>
      </w:r>
      <w:r w:rsidR="00CF0665">
        <w:t>L</w:t>
      </w:r>
      <w:r w:rsidR="00F913FC">
        <w:t>ayer</w:t>
      </w:r>
      <w:r w:rsidR="3BF1088A">
        <w:t xml:space="preserve"> </w:t>
      </w:r>
      <w:r w:rsidR="00F913FC">
        <w:t>(</w:t>
      </w:r>
      <w:r w:rsidR="3BF1088A">
        <w:t>CDL</w:t>
      </w:r>
      <w:r w:rsidR="00F913FC">
        <w:t>)</w:t>
      </w:r>
      <w:r w:rsidR="3BF1088A">
        <w:t xml:space="preserve">, a USDA product that maps fields for major crops at 30 m resolution, for </w:t>
      </w:r>
      <w:r w:rsidR="00F913FC">
        <w:t>the continental United States (</w:t>
      </w:r>
      <w:r w:rsidR="3BF1088A">
        <w:t>CONUS</w:t>
      </w:r>
      <w:r w:rsidR="00F913FC">
        <w:t>)</w:t>
      </w:r>
      <w:r w:rsidR="3BF1088A">
        <w:t xml:space="preserve"> for the years 2008 to the present.</w:t>
      </w:r>
      <w:r w:rsidR="002B4F12">
        <w:rPr>
          <w:rStyle w:val="FootnoteReference"/>
        </w:rPr>
        <w:footnoteReference w:id="31"/>
      </w:r>
      <w:r w:rsidR="3BF1088A">
        <w:t xml:space="preserve"> This enables identification of the location of pollination-dependent crop fields and pollinator habitat that can provide pollination to those fields. To move from pilot account</w:t>
      </w:r>
      <w:r w:rsidR="00153D36">
        <w:t>s</w:t>
      </w:r>
      <w:r w:rsidR="3BF1088A">
        <w:t xml:space="preserve"> toward production, a number of improvements to the model are needed. Significantly, future work will move beyond the Lonsdorf model, which considers a single “generic insect pollinator,” to more realistically account for diverse groups of </w:t>
      </w:r>
      <w:r w:rsidR="75C6124E">
        <w:t>wild</w:t>
      </w:r>
      <w:r w:rsidR="3BF1088A">
        <w:t xml:space="preserve"> pollinators and </w:t>
      </w:r>
      <w:r w:rsidR="3D50358C">
        <w:t xml:space="preserve">their relationship with crops and other economically valuable, pollination-dependent plants, as well as </w:t>
      </w:r>
      <w:r w:rsidR="3BF1088A">
        <w:t xml:space="preserve">how ecosystems support managed beehives used in agriculture. </w:t>
      </w:r>
    </w:p>
    <w:p w14:paraId="1CC40880" w14:textId="51AC0074" w:rsidR="00D85A9F" w:rsidRPr="00D85A9F" w:rsidRDefault="00D85A9F" w:rsidP="00A35E4A">
      <w:r>
        <w:lastRenderedPageBreak/>
        <w:t xml:space="preserve">As the producer of key datasets, a major funder of pollination research, and a </w:t>
      </w:r>
      <w:r w:rsidR="002B4F12">
        <w:t>party</w:t>
      </w:r>
      <w:r>
        <w:t xml:space="preserve"> with high interest in the results (</w:t>
      </w:r>
      <w:r w:rsidRPr="00F913FC">
        <w:rPr>
          <w:i/>
          <w:iCs/>
        </w:rPr>
        <w:t>i.e</w:t>
      </w:r>
      <w:r>
        <w:t xml:space="preserve">., in informing conservation spending outcomes), USDA </w:t>
      </w:r>
      <w:r w:rsidR="00B7262C">
        <w:t>is logically the central agency in pollination accounting</w:t>
      </w:r>
      <w:r w:rsidR="009179F6">
        <w:t xml:space="preserve"> and should potentially lead this work</w:t>
      </w:r>
      <w:r w:rsidR="00B7262C">
        <w:t xml:space="preserve">. Other U.S. government agencies including USGS and EPA may play </w:t>
      </w:r>
      <w:r w:rsidR="008B6E90">
        <w:t>important</w:t>
      </w:r>
      <w:r w:rsidR="00B7262C">
        <w:t xml:space="preserve"> supporting role</w:t>
      </w:r>
      <w:r w:rsidR="008B6E90">
        <w:t>s</w:t>
      </w:r>
      <w:r w:rsidR="00B7262C">
        <w:t xml:space="preserve"> in developing pollination accounts.</w:t>
      </w:r>
    </w:p>
    <w:p w14:paraId="181462FA" w14:textId="5B874F3B" w:rsidR="00EB5A62" w:rsidRPr="00A332A8" w:rsidRDefault="00EB5A62" w:rsidP="00A332A8">
      <w:pPr>
        <w:pStyle w:val="Heading2"/>
      </w:pPr>
      <w:r>
        <w:t xml:space="preserve">Overview of </w:t>
      </w:r>
      <w:r w:rsidR="003E11D3">
        <w:t xml:space="preserve">future </w:t>
      </w:r>
      <w:r>
        <w:t xml:space="preserve">development of </w:t>
      </w:r>
      <w:r w:rsidR="00343E91">
        <w:t>pollination</w:t>
      </w:r>
      <w:r>
        <w:t xml:space="preserve"> topic area within the U.S. System of Environmental-Economic Accounts</w:t>
      </w:r>
    </w:p>
    <w:p w14:paraId="27B66D51" w14:textId="336FD7EB" w:rsidR="00B7262C" w:rsidRDefault="00B7262C" w:rsidP="00EB5A62">
      <w:r>
        <w:rPr>
          <w:b/>
          <w:bCs/>
        </w:rPr>
        <w:t xml:space="preserve">Pilot accounts </w:t>
      </w:r>
      <w:r>
        <w:t>for crop pollination are currently in development</w:t>
      </w:r>
      <w:r w:rsidR="003E5675">
        <w:t xml:space="preserve"> and should be completed by 2022</w:t>
      </w:r>
      <w:r w:rsidR="00E75B24">
        <w:t>-2023</w:t>
      </w:r>
      <w:r>
        <w:t xml:space="preserve">, </w:t>
      </w:r>
      <w:r w:rsidR="003E5675">
        <w:t>as described in the section above.</w:t>
      </w:r>
    </w:p>
    <w:p w14:paraId="688C6F8A" w14:textId="6842F846" w:rsidR="00535D83" w:rsidRDefault="00E75B24" w:rsidP="00EB5A62">
      <w:r>
        <w:t>Future versions of these</w:t>
      </w:r>
      <w:r w:rsidRPr="00E75B24">
        <w:t xml:space="preserve"> pilot accounts can</w:t>
      </w:r>
      <w:r>
        <w:rPr>
          <w:b/>
          <w:bCs/>
        </w:rPr>
        <w:t xml:space="preserve"> </w:t>
      </w:r>
      <w:r w:rsidRPr="00E75B24">
        <w:t>gradually move toward</w:t>
      </w:r>
      <w:r>
        <w:rPr>
          <w:b/>
          <w:bCs/>
        </w:rPr>
        <w:t xml:space="preserve"> </w:t>
      </w:r>
      <w:r w:rsidR="00B46A16">
        <w:rPr>
          <w:b/>
          <w:bCs/>
        </w:rPr>
        <w:t>prototype</w:t>
      </w:r>
      <w:r w:rsidR="00535D83">
        <w:rPr>
          <w:b/>
          <w:bCs/>
        </w:rPr>
        <w:t xml:space="preserve"> accounts </w:t>
      </w:r>
      <w:r w:rsidRPr="00E75B24">
        <w:t>by around 2027</w:t>
      </w:r>
      <w:r>
        <w:rPr>
          <w:b/>
          <w:bCs/>
        </w:rPr>
        <w:t xml:space="preserve">, </w:t>
      </w:r>
      <w:r>
        <w:t xml:space="preserve">once they are able to address more of </w:t>
      </w:r>
      <w:r w:rsidR="009039B1">
        <w:t xml:space="preserve">the </w:t>
      </w:r>
      <w:r w:rsidR="002A310C">
        <w:t>below-described</w:t>
      </w:r>
      <w:r w:rsidR="00E03154">
        <w:t xml:space="preserve"> </w:t>
      </w:r>
      <w:r w:rsidR="008C126C">
        <w:t>issues identified during the pilot accounting process</w:t>
      </w:r>
      <w:r w:rsidR="002A310C">
        <w:t>.</w:t>
      </w:r>
    </w:p>
    <w:p w14:paraId="1CD0E0E4" w14:textId="6A076CA6" w:rsidR="002A310C" w:rsidRDefault="002A310C" w:rsidP="00EB5A62">
      <w:r>
        <w:rPr>
          <w:b/>
          <w:bCs/>
        </w:rPr>
        <w:t xml:space="preserve">Production accounts </w:t>
      </w:r>
      <w:r>
        <w:t>will have resolved all or nearly all of the below-identified challenges, and any others that arise during the process of moving from pilot to production. These could be accomplished by roughly FY31 with targeted work to solve the above-noted issues.</w:t>
      </w:r>
    </w:p>
    <w:p w14:paraId="729F9E23" w14:textId="4215DF7F" w:rsidR="00E74953" w:rsidRDefault="44FF9B71" w:rsidP="454E3BDF">
      <w:pPr>
        <w:rPr>
          <w:rStyle w:val="Heading5Char"/>
          <w:rFonts w:asciiTheme="minorHAnsi" w:hAnsiTheme="minorHAnsi" w:cstheme="minorBidi"/>
          <w:color w:val="auto"/>
        </w:rPr>
      </w:pPr>
      <w:r w:rsidRPr="454E3BDF">
        <w:rPr>
          <w:rStyle w:val="Heading5Char"/>
          <w:rFonts w:asciiTheme="minorHAnsi" w:hAnsiTheme="minorHAnsi" w:cstheme="minorBidi"/>
          <w:color w:val="auto"/>
        </w:rPr>
        <w:t xml:space="preserve">The </w:t>
      </w:r>
      <w:r w:rsidR="19B779D8" w:rsidRPr="454E3BDF">
        <w:rPr>
          <w:rStyle w:val="Heading5Char"/>
          <w:rFonts w:asciiTheme="minorHAnsi" w:hAnsiTheme="minorHAnsi" w:cstheme="minorBidi"/>
          <w:color w:val="auto"/>
        </w:rPr>
        <w:t>major</w:t>
      </w:r>
      <w:r w:rsidR="35873B90" w:rsidRPr="454E3BDF">
        <w:rPr>
          <w:rStyle w:val="Heading5Char"/>
          <w:rFonts w:asciiTheme="minorHAnsi" w:hAnsiTheme="minorHAnsi" w:cstheme="minorBidi"/>
          <w:color w:val="auto"/>
        </w:rPr>
        <w:t xml:space="preserve"> </w:t>
      </w:r>
      <w:r w:rsidRPr="454E3BDF">
        <w:rPr>
          <w:rStyle w:val="Heading5Char"/>
          <w:rFonts w:asciiTheme="minorHAnsi" w:hAnsiTheme="minorHAnsi" w:cstheme="minorBidi"/>
          <w:color w:val="auto"/>
        </w:rPr>
        <w:t xml:space="preserve">need </w:t>
      </w:r>
      <w:r w:rsidR="19B779D8" w:rsidRPr="454E3BDF">
        <w:rPr>
          <w:rStyle w:val="Heading5Char"/>
          <w:rFonts w:asciiTheme="minorHAnsi" w:hAnsiTheme="minorHAnsi" w:cstheme="minorBidi"/>
          <w:color w:val="auto"/>
        </w:rPr>
        <w:t xml:space="preserve">to move toward experimental then production-grade accounts </w:t>
      </w:r>
      <w:r w:rsidRPr="454E3BDF">
        <w:rPr>
          <w:rStyle w:val="Heading5Char"/>
          <w:rFonts w:asciiTheme="minorHAnsi" w:hAnsiTheme="minorHAnsi" w:cstheme="minorBidi"/>
          <w:color w:val="auto"/>
        </w:rPr>
        <w:t>will be to</w:t>
      </w:r>
      <w:r w:rsidR="76446BC2" w:rsidRPr="454E3BDF">
        <w:rPr>
          <w:rStyle w:val="Heading5Char"/>
          <w:rFonts w:asciiTheme="minorHAnsi" w:hAnsiTheme="minorHAnsi" w:cstheme="minorBidi"/>
          <w:color w:val="auto"/>
        </w:rPr>
        <w:t xml:space="preserve"> </w:t>
      </w:r>
      <w:r w:rsidRPr="454E3BDF">
        <w:rPr>
          <w:rStyle w:val="Heading5Char"/>
          <w:rFonts w:asciiTheme="minorHAnsi" w:hAnsiTheme="minorHAnsi" w:cstheme="minorBidi"/>
          <w:color w:val="auto"/>
        </w:rPr>
        <w:t>identify</w:t>
      </w:r>
      <w:r w:rsidR="76446BC2" w:rsidRPr="454E3BDF">
        <w:rPr>
          <w:rStyle w:val="Heading5Char"/>
          <w:rFonts w:asciiTheme="minorHAnsi" w:hAnsiTheme="minorHAnsi" w:cstheme="minorBidi"/>
          <w:color w:val="auto"/>
        </w:rPr>
        <w:t xml:space="preserve"> a small number of pollinator types </w:t>
      </w:r>
      <w:r w:rsidRPr="454E3BDF">
        <w:rPr>
          <w:rStyle w:val="Heading5Char"/>
          <w:rFonts w:asciiTheme="minorHAnsi" w:hAnsiTheme="minorHAnsi" w:cstheme="minorBidi"/>
          <w:color w:val="auto"/>
        </w:rPr>
        <w:t>(</w:t>
      </w:r>
      <w:r w:rsidRPr="00F913FC">
        <w:rPr>
          <w:rStyle w:val="Heading5Char"/>
          <w:rFonts w:asciiTheme="minorHAnsi" w:hAnsiTheme="minorHAnsi" w:cstheme="minorBidi"/>
          <w:i/>
          <w:iCs/>
          <w:color w:val="auto"/>
        </w:rPr>
        <w:t>i.e</w:t>
      </w:r>
      <w:r w:rsidRPr="454E3BDF">
        <w:rPr>
          <w:rStyle w:val="Heading5Char"/>
          <w:rFonts w:asciiTheme="minorHAnsi" w:hAnsiTheme="minorHAnsi" w:cstheme="minorBidi"/>
          <w:color w:val="auto"/>
        </w:rPr>
        <w:t xml:space="preserve">., guilds) </w:t>
      </w:r>
      <w:r w:rsidR="76446BC2" w:rsidRPr="454E3BDF">
        <w:rPr>
          <w:rStyle w:val="Heading5Char"/>
          <w:rFonts w:asciiTheme="minorHAnsi" w:hAnsiTheme="minorHAnsi" w:cstheme="minorBidi"/>
          <w:color w:val="auto"/>
        </w:rPr>
        <w:t xml:space="preserve">that can be connected to specific agricultural activities in supply-use tables. The list of </w:t>
      </w:r>
      <w:r w:rsidR="19B779D8" w:rsidRPr="454E3BDF">
        <w:rPr>
          <w:rStyle w:val="Heading5Char"/>
          <w:rFonts w:asciiTheme="minorHAnsi" w:hAnsiTheme="minorHAnsi" w:cstheme="minorBidi"/>
          <w:color w:val="auto"/>
        </w:rPr>
        <w:t>guilds</w:t>
      </w:r>
      <w:r w:rsidR="76446BC2" w:rsidRPr="454E3BDF">
        <w:rPr>
          <w:rStyle w:val="Heading5Char"/>
          <w:rFonts w:asciiTheme="minorHAnsi" w:hAnsiTheme="minorHAnsi" w:cstheme="minorBidi"/>
          <w:color w:val="auto"/>
        </w:rPr>
        <w:t xml:space="preserve"> may expand in the future.</w:t>
      </w:r>
      <w:r w:rsidR="76446BC2" w:rsidRPr="00E74953">
        <w:rPr>
          <w:rStyle w:val="Heading5Char"/>
          <w:color w:val="auto"/>
        </w:rPr>
        <w:t xml:space="preserve"> </w:t>
      </w:r>
      <w:r w:rsidR="76446BC2">
        <w:t>This work would focus on groups of pollinator species with known importance to crops, together with improved information being developed by USDA on pollinator habitat needs and plant-pollinator interactions.</w:t>
      </w:r>
      <w:r w:rsidR="0063127B">
        <w:rPr>
          <w:rStyle w:val="FootnoteReference"/>
        </w:rPr>
        <w:footnoteReference w:id="32"/>
      </w:r>
      <w:r w:rsidR="63909FA7">
        <w:t xml:space="preserve"> It will rely on case studies for species-specific habitat relationships, and apply needed models and sensitivity analyses, drawing from shared, growing databases.</w:t>
      </w:r>
      <w:r w:rsidR="006842D6">
        <w:rPr>
          <w:rStyle w:val="FootnoteReference"/>
        </w:rPr>
        <w:footnoteReference w:id="33"/>
      </w:r>
      <w:r w:rsidR="63909FA7">
        <w:t xml:space="preserve"> </w:t>
      </w:r>
      <w:r w:rsidR="63909FA7" w:rsidRPr="454E3BDF">
        <w:rPr>
          <w:rStyle w:val="Heading5Char"/>
          <w:rFonts w:asciiTheme="minorHAnsi" w:hAnsiTheme="minorHAnsi" w:cstheme="minorBidi"/>
          <w:color w:val="auto"/>
        </w:rPr>
        <w:t xml:space="preserve">This work will transition accounts from a model of a “generic” pollinator </w:t>
      </w:r>
      <w:r w:rsidR="784FD9A9" w:rsidRPr="454E3BDF">
        <w:rPr>
          <w:rStyle w:val="Heading5Char"/>
          <w:rFonts w:asciiTheme="minorHAnsi" w:hAnsiTheme="minorHAnsi" w:cstheme="minorBidi"/>
          <w:color w:val="auto"/>
        </w:rPr>
        <w:t>(</w:t>
      </w:r>
      <w:r w:rsidR="784FD9A9" w:rsidRPr="00F913FC">
        <w:rPr>
          <w:rStyle w:val="Heading5Char"/>
          <w:rFonts w:asciiTheme="minorHAnsi" w:hAnsiTheme="minorHAnsi" w:cstheme="minorBidi"/>
          <w:i/>
          <w:iCs/>
          <w:color w:val="auto"/>
        </w:rPr>
        <w:t>i.e</w:t>
      </w:r>
      <w:r w:rsidR="784FD9A9" w:rsidRPr="454E3BDF">
        <w:rPr>
          <w:rStyle w:val="Heading5Char"/>
          <w:rFonts w:asciiTheme="minorHAnsi" w:hAnsiTheme="minorHAnsi" w:cstheme="minorBidi"/>
          <w:color w:val="auto"/>
        </w:rPr>
        <w:t xml:space="preserve">., the Lonsdorf model) </w:t>
      </w:r>
      <w:r w:rsidR="63909FA7" w:rsidRPr="454E3BDF">
        <w:rPr>
          <w:rStyle w:val="Heading5Char"/>
          <w:rFonts w:asciiTheme="minorHAnsi" w:hAnsiTheme="minorHAnsi" w:cstheme="minorBidi"/>
          <w:color w:val="auto"/>
        </w:rPr>
        <w:t>toward models that incorporate species-specific realism,</w:t>
      </w:r>
      <w:r w:rsidR="50559B4B" w:rsidRPr="454E3BDF">
        <w:rPr>
          <w:rStyle w:val="Heading5Char"/>
          <w:rFonts w:asciiTheme="minorHAnsi" w:hAnsiTheme="minorHAnsi" w:cstheme="minorBidi"/>
          <w:color w:val="auto"/>
        </w:rPr>
        <w:t xml:space="preserve"> and the complex dynamics between diverse pollinator species, landscape structure, habitat quality, and crop yield</w:t>
      </w:r>
      <w:r w:rsidR="63909FA7" w:rsidRPr="454E3BDF">
        <w:rPr>
          <w:rStyle w:val="Heading5Char"/>
          <w:rFonts w:asciiTheme="minorHAnsi" w:hAnsiTheme="minorHAnsi" w:cstheme="minorBidi"/>
          <w:color w:val="auto"/>
        </w:rPr>
        <w:t xml:space="preserve"> while avoiding the introduction of intractable complexity.</w:t>
      </w:r>
      <w:r w:rsidR="006842D6" w:rsidRPr="454E3BDF">
        <w:rPr>
          <w:rStyle w:val="FootnoteReference"/>
          <w:rFonts w:eastAsiaTheme="majorEastAsia"/>
        </w:rPr>
        <w:footnoteReference w:id="34"/>
      </w:r>
    </w:p>
    <w:p w14:paraId="76DC26C7" w14:textId="7CF835BF" w:rsidR="002C18DE" w:rsidRDefault="00441EB9" w:rsidP="00EB5A62">
      <w:r>
        <w:rPr>
          <w:rStyle w:val="Heading5Char"/>
          <w:rFonts w:asciiTheme="minorHAnsi" w:hAnsiTheme="minorHAnsi" w:cstheme="minorHAnsi"/>
          <w:color w:val="auto"/>
        </w:rPr>
        <w:t>Seven</w:t>
      </w:r>
      <w:r w:rsidR="002C18DE">
        <w:rPr>
          <w:rStyle w:val="Heading5Char"/>
          <w:rFonts w:asciiTheme="minorHAnsi" w:hAnsiTheme="minorHAnsi" w:cstheme="minorHAnsi"/>
          <w:color w:val="auto"/>
        </w:rPr>
        <w:t xml:space="preserve"> </w:t>
      </w:r>
      <w:r>
        <w:rPr>
          <w:rStyle w:val="Heading5Char"/>
          <w:rFonts w:asciiTheme="minorHAnsi" w:hAnsiTheme="minorHAnsi" w:cstheme="minorHAnsi"/>
          <w:color w:val="auto"/>
        </w:rPr>
        <w:t>additional</w:t>
      </w:r>
      <w:r w:rsidR="002C18DE">
        <w:rPr>
          <w:rStyle w:val="Heading5Char"/>
          <w:rFonts w:asciiTheme="minorHAnsi" w:hAnsiTheme="minorHAnsi" w:cstheme="minorHAnsi"/>
          <w:color w:val="auto"/>
        </w:rPr>
        <w:t xml:space="preserve"> issues should also be addressed to move pollination accounts from Pilot toward Production Grade:</w:t>
      </w:r>
    </w:p>
    <w:p w14:paraId="18414590" w14:textId="745CC531" w:rsidR="008C126C" w:rsidRDefault="003E5675" w:rsidP="008C126C">
      <w:pPr>
        <w:pStyle w:val="ListParagraph"/>
        <w:numPr>
          <w:ilvl w:val="0"/>
          <w:numId w:val="4"/>
        </w:numPr>
      </w:pPr>
      <w:r>
        <w:t>Determining</w:t>
      </w:r>
      <w:r w:rsidR="008C126C">
        <w:t xml:space="preserve"> how to </w:t>
      </w:r>
      <w:r w:rsidR="008C126C" w:rsidRPr="6D2E5055">
        <w:rPr>
          <w:i/>
          <w:iCs/>
        </w:rPr>
        <w:t>quantify pollination in the U.S. outside of CONUS</w:t>
      </w:r>
      <w:r w:rsidR="008C126C">
        <w:t xml:space="preserve">, given CDL’s CONUS-only coverage. </w:t>
      </w:r>
      <w:r w:rsidR="002A310C">
        <w:t xml:space="preserve">For instance, a CDL-comparable product is available for </w:t>
      </w:r>
      <w:r w:rsidR="008C126C">
        <w:t xml:space="preserve">Hawai’i </w:t>
      </w:r>
      <w:r w:rsidR="002A310C">
        <w:t>for the years 2015 and 2020, but none are known to exist for</w:t>
      </w:r>
      <w:r w:rsidR="008C126C">
        <w:t xml:space="preserve"> U.S. territories</w:t>
      </w:r>
      <w:r w:rsidR="002A310C">
        <w:t>.</w:t>
      </w:r>
      <w:r w:rsidR="008C126C">
        <w:t xml:space="preserve"> Given its low agricultural productivity and cold climate (which limits insect activity), </w:t>
      </w:r>
      <w:r>
        <w:t>a preliminary assessment should evaluate whether</w:t>
      </w:r>
      <w:r w:rsidR="008C126C">
        <w:t xml:space="preserve"> production of pollination accounts for Alaska </w:t>
      </w:r>
      <w:r>
        <w:t xml:space="preserve">is </w:t>
      </w:r>
      <w:r w:rsidR="008C126C">
        <w:t>worth</w:t>
      </w:r>
      <w:r w:rsidR="002A310C">
        <w:t>while (though wild berries commonly harvested for subsistence and indigenous use are pollination-dependent)</w:t>
      </w:r>
      <w:r>
        <w:t>.</w:t>
      </w:r>
      <w:r w:rsidR="008C126C">
        <w:t xml:space="preserve"> An assessment of </w:t>
      </w:r>
      <w:r>
        <w:t xml:space="preserve">the volume and economic value of </w:t>
      </w:r>
      <w:r w:rsidR="008C126C">
        <w:t>production of pollination-dependent crops and existing and potential data sources for non-CONUS parts of the U.S. is a necessary first step to answering these questions.</w:t>
      </w:r>
    </w:p>
    <w:p w14:paraId="1B1651D3" w14:textId="072288D9" w:rsidR="008C126C" w:rsidRDefault="003E5675" w:rsidP="008C126C">
      <w:pPr>
        <w:pStyle w:val="ListParagraph"/>
        <w:numPr>
          <w:ilvl w:val="0"/>
          <w:numId w:val="4"/>
        </w:numPr>
      </w:pPr>
      <w:r w:rsidRPr="00F77A09">
        <w:rPr>
          <w:i/>
          <w:iCs/>
        </w:rPr>
        <w:lastRenderedPageBreak/>
        <w:t>Reducing reliance on</w:t>
      </w:r>
      <w:r w:rsidR="008C126C" w:rsidRPr="00F77A09">
        <w:rPr>
          <w:i/>
          <w:iCs/>
        </w:rPr>
        <w:t xml:space="preserve"> expert coefficients</w:t>
      </w:r>
      <w:r w:rsidR="008C126C">
        <w:t xml:space="preserve"> for </w:t>
      </w:r>
      <w:r w:rsidR="0056503E">
        <w:t>(</w:t>
      </w:r>
      <w:r w:rsidR="008C126C">
        <w:t>1) pollinator dependence of individual crops (</w:t>
      </w:r>
      <w:r w:rsidR="00F77A09">
        <w:t xml:space="preserve">see Jordan </w:t>
      </w:r>
      <w:r w:rsidR="00F77A09" w:rsidRPr="00F913FC">
        <w:rPr>
          <w:i/>
          <w:iCs/>
        </w:rPr>
        <w:t>et al</w:t>
      </w:r>
      <w:r w:rsidR="00F77A09">
        <w:t>.</w:t>
      </w:r>
      <w:r w:rsidR="00F77A09">
        <w:rPr>
          <w:rStyle w:val="FootnoteReference"/>
        </w:rPr>
        <w:footnoteReference w:id="35"/>
      </w:r>
      <w:r w:rsidR="008C126C">
        <w:t xml:space="preserve"> for a limited </w:t>
      </w:r>
      <w:r w:rsidR="00F77A09">
        <w:t>treatment of this issue</w:t>
      </w:r>
      <w:r w:rsidR="008C126C">
        <w:t xml:space="preserve">), and </w:t>
      </w:r>
      <w:r w:rsidR="0056503E">
        <w:t>(</w:t>
      </w:r>
      <w:r w:rsidR="008C126C">
        <w:t xml:space="preserve">2) habitat suitability for </w:t>
      </w:r>
      <w:r w:rsidR="00F77A09">
        <w:t xml:space="preserve">various </w:t>
      </w:r>
      <w:r w:rsidR="008C126C">
        <w:t>pollinators</w:t>
      </w:r>
      <w:r w:rsidR="00F77A09">
        <w:t xml:space="preserve"> guilds</w:t>
      </w:r>
      <w:r w:rsidR="008C126C">
        <w:t>, often conceived in the Lonsdorf model as nesting habitat and floral resource quality.</w:t>
      </w:r>
      <w:r w:rsidR="00F77A09" w:rsidRPr="00F77A09">
        <w:rPr>
          <w:rStyle w:val="FootnoteReference"/>
        </w:rPr>
        <w:footnoteReference w:id="36"/>
      </w:r>
      <w:r w:rsidR="00F77A09" w:rsidRPr="00F77A09">
        <w:rPr>
          <w:vertAlign w:val="superscript"/>
        </w:rPr>
        <w:t>,</w:t>
      </w:r>
      <w:r w:rsidR="00F77A09">
        <w:rPr>
          <w:rStyle w:val="FootnoteReference"/>
        </w:rPr>
        <w:footnoteReference w:id="37"/>
      </w:r>
      <w:r w:rsidR="008C126C">
        <w:t xml:space="preserve"> </w:t>
      </w:r>
      <w:r>
        <w:t>The Lonsdorf model is highly sensitive to changes in these parameters, so reasonable ranges for them should be considered</w:t>
      </w:r>
      <w:r w:rsidR="00F77A09">
        <w:t xml:space="preserve"> for different</w:t>
      </w:r>
      <w:r w:rsidR="007716DE">
        <w:t xml:space="preserve"> pollinator</w:t>
      </w:r>
      <w:r w:rsidR="00F77A09">
        <w:t xml:space="preserve"> guilds</w:t>
      </w:r>
      <w:r>
        <w:t>, further sensitivity analysis conducted, and improved parameter ranges should be developed.</w:t>
      </w:r>
      <w:r w:rsidR="00F77A09">
        <w:t xml:space="preserve"> USDA-funded work is underway to understand contributions of different pollinator species to various crops, improving the realism of pollination dynamics, for instance, in different regions of the U.S. that have different pollinator species.</w:t>
      </w:r>
    </w:p>
    <w:p w14:paraId="424DBB15" w14:textId="71493A69" w:rsidR="008C126C" w:rsidRPr="00EC0BB0" w:rsidRDefault="00441EB9" w:rsidP="00441EB9">
      <w:pPr>
        <w:pStyle w:val="ListParagraph"/>
        <w:numPr>
          <w:ilvl w:val="0"/>
          <w:numId w:val="4"/>
        </w:numPr>
      </w:pPr>
      <w:r w:rsidRPr="00EC0BB0">
        <w:t xml:space="preserve">A more complete accounting for </w:t>
      </w:r>
      <w:r w:rsidRPr="00EC0BB0">
        <w:rPr>
          <w:i/>
          <w:iCs/>
        </w:rPr>
        <w:t>managed pollinators</w:t>
      </w:r>
      <w:r w:rsidRPr="00EC0BB0">
        <w:t xml:space="preserve"> – including both honey</w:t>
      </w:r>
      <w:r w:rsidR="49E7D999" w:rsidRPr="00EC0BB0">
        <w:t xml:space="preserve"> </w:t>
      </w:r>
      <w:r w:rsidRPr="00EC0BB0">
        <w:t>bee hives and native, managed pollinator species (</w:t>
      </w:r>
      <w:r w:rsidRPr="00F913FC">
        <w:rPr>
          <w:i/>
          <w:iCs/>
        </w:rPr>
        <w:t>e.g</w:t>
      </w:r>
      <w:r w:rsidRPr="00EC0BB0">
        <w:t xml:space="preserve">., </w:t>
      </w:r>
      <w:r w:rsidR="00F913FC">
        <w:t>E</w:t>
      </w:r>
      <w:r w:rsidRPr="00EC0BB0">
        <w:t>astern bumble</w:t>
      </w:r>
      <w:r w:rsidR="00A42978">
        <w:t xml:space="preserve"> </w:t>
      </w:r>
      <w:r w:rsidRPr="00EC0BB0">
        <w:t>bee, alfalfa leafcutter bee</w:t>
      </w:r>
      <w:r w:rsidR="00F913FC">
        <w:t>, mason bee</w:t>
      </w:r>
      <w:r w:rsidRPr="00EC0BB0">
        <w:t>). Notably, ecosystems as well as crop fields provide forage for these pollinators.</w:t>
      </w:r>
      <w:r w:rsidR="00EC0BB0" w:rsidRPr="00EC0BB0">
        <w:rPr>
          <w:rStyle w:val="FootnoteReference"/>
        </w:rPr>
        <w:footnoteReference w:id="38"/>
      </w:r>
      <w:r w:rsidRPr="00EC0BB0">
        <w:t xml:space="preserve"> Because the Lonsdorf model evaluates the quality of insect foraging habitat within range of specific locations, it can be adapted to evaluate the benefits provided to managed as well as wild pollinators. Further, understanding the</w:t>
      </w:r>
      <w:r w:rsidR="003E5675" w:rsidRPr="00EC0BB0">
        <w:t xml:space="preserve"> substitutability and complementarity</w:t>
      </w:r>
      <w:r w:rsidRPr="00EC0BB0">
        <w:t xml:space="preserve"> between wild and managed pollinators should be further considered in production-grade</w:t>
      </w:r>
      <w:r w:rsidR="008C126C" w:rsidRPr="00EC0BB0">
        <w:t xml:space="preserve"> environmental-economic accounts</w:t>
      </w:r>
      <w:r w:rsidRPr="00EC0BB0">
        <w:t xml:space="preserve"> (see “Relationship to the production boundary” below)</w:t>
      </w:r>
      <w:r w:rsidR="008C126C" w:rsidRPr="00EC0BB0">
        <w:t>.</w:t>
      </w:r>
    </w:p>
    <w:p w14:paraId="3B0EEDA5" w14:textId="13960B80" w:rsidR="008C126C" w:rsidRDefault="7E951034" w:rsidP="454E3BDF">
      <w:pPr>
        <w:pStyle w:val="ListParagraph"/>
        <w:numPr>
          <w:ilvl w:val="0"/>
          <w:numId w:val="4"/>
        </w:numPr>
      </w:pPr>
      <w:r>
        <w:t xml:space="preserve">Understanding how </w:t>
      </w:r>
      <w:r w:rsidRPr="22DE1355">
        <w:rPr>
          <w:i/>
          <w:iCs/>
        </w:rPr>
        <w:t>environmental toxins and stressors, e.g., pesticides</w:t>
      </w:r>
      <w:r w:rsidR="00D72E1F" w:rsidRPr="22DE1355">
        <w:rPr>
          <w:rStyle w:val="FootnoteReference"/>
          <w:i/>
          <w:iCs/>
        </w:rPr>
        <w:footnoteReference w:id="39"/>
      </w:r>
      <w:r w:rsidR="3ED1192E" w:rsidRPr="22DE1355">
        <w:rPr>
          <w:i/>
          <w:iCs/>
        </w:rPr>
        <w:t xml:space="preserve"> </w:t>
      </w:r>
      <w:r w:rsidRPr="22DE1355">
        <w:rPr>
          <w:i/>
          <w:iCs/>
        </w:rPr>
        <w:t>and air pollution</w:t>
      </w:r>
      <w:r w:rsidR="00D72E1F" w:rsidRPr="22DE1355">
        <w:rPr>
          <w:rStyle w:val="FootnoteReference"/>
          <w:i/>
          <w:iCs/>
        </w:rPr>
        <w:footnoteReference w:id="40"/>
      </w:r>
      <w:r>
        <w:t xml:space="preserve"> play role</w:t>
      </w:r>
      <w:r w:rsidR="3ED1192E">
        <w:t>s</w:t>
      </w:r>
      <w:r>
        <w:t xml:space="preserve"> in pollinator population health and pollination services delivered to farmers</w:t>
      </w:r>
      <w:r w:rsidR="00C57BC6">
        <w:t>, in a manner suitable for incorporation into national pollination accounts</w:t>
      </w:r>
      <w:r>
        <w:t>.</w:t>
      </w:r>
      <w:r w:rsidR="0B09FE8F">
        <w:t xml:space="preserve"> In addition to developing supply and use tables for crop pollination, related condition accounts for pollination can be developed to assess (1) displacement of wild pollinators by managed pollinators, (2) pesticide load</w:t>
      </w:r>
      <w:r w:rsidR="008C126C" w:rsidRPr="454E3BDF">
        <w:rPr>
          <w:rStyle w:val="FootnoteReference"/>
        </w:rPr>
        <w:footnoteReference w:id="41"/>
      </w:r>
      <w:r w:rsidR="0B09FE8F">
        <w:t xml:space="preserve"> and disease burden affecting wild and managed pollinators, and any other relevant accounts that do not yet have quantifiable links to supply and use but which provide useful information on health of pollinator populations.</w:t>
      </w:r>
    </w:p>
    <w:p w14:paraId="5BCC121B" w14:textId="418EAA76" w:rsidR="000421EF" w:rsidRDefault="0007447A" w:rsidP="000421EF">
      <w:pPr>
        <w:ind w:left="720"/>
      </w:pPr>
      <w:r>
        <w:t>Responsive to</w:t>
      </w:r>
      <w:r w:rsidR="000421EF">
        <w:t xml:space="preserve"> the National Strategy to Promote the Health of Honey Bees and Other Pollinators</w:t>
      </w:r>
      <w:r w:rsidR="000421EF">
        <w:rPr>
          <w:rStyle w:val="FootnoteReference"/>
        </w:rPr>
        <w:footnoteReference w:id="42"/>
      </w:r>
      <w:r w:rsidR="000421EF">
        <w:t xml:space="preserve"> and consistent with its regulatory </w:t>
      </w:r>
      <w:r>
        <w:t>mission to protect human health and the environment</w:t>
      </w:r>
      <w:r w:rsidR="000421EF">
        <w:t xml:space="preserve">, EPA assesses the effects of pesticide on bees and other pollinators and limits the use of products toxic to bees in </w:t>
      </w:r>
      <w:r>
        <w:t xml:space="preserve">pollinator-attractive </w:t>
      </w:r>
      <w:r w:rsidR="000421EF">
        <w:t>crops. The agency has also expedited review of registration applications for new products targeting pests harmful to bees (</w:t>
      </w:r>
      <w:r w:rsidR="000421EF" w:rsidRPr="22DE1355">
        <w:rPr>
          <w:i/>
          <w:iCs/>
        </w:rPr>
        <w:t>e.g</w:t>
      </w:r>
      <w:r w:rsidR="000421EF">
        <w:t xml:space="preserve">., </w:t>
      </w:r>
      <w:r w:rsidR="000421EF" w:rsidRPr="00257933">
        <w:rPr>
          <w:i/>
          <w:iCs/>
        </w:rPr>
        <w:lastRenderedPageBreak/>
        <w:t>Varroa</w:t>
      </w:r>
      <w:r w:rsidR="000421EF">
        <w:t xml:space="preserve"> mites). EPA uses a tiered process</w:t>
      </w:r>
      <w:r w:rsidR="000421EF">
        <w:rPr>
          <w:rStyle w:val="FootnoteReference"/>
        </w:rPr>
        <w:footnoteReference w:id="43"/>
      </w:r>
      <w:r w:rsidR="000421EF">
        <w:t xml:space="preserve"> ranging from laboratory-based tests and risk estimates to colony-level studies under semi-field conditions to exposure studies and/or full-field colony-level studies, relying on USDA data</w:t>
      </w:r>
      <w:r w:rsidR="000421EF">
        <w:rPr>
          <w:rStyle w:val="FootnoteReference"/>
        </w:rPr>
        <w:footnoteReference w:id="44"/>
      </w:r>
      <w:r w:rsidR="000421EF">
        <w:t xml:space="preserve"> </w:t>
      </w:r>
      <w:r>
        <w:t xml:space="preserve">on crop pollinator attractiveness </w:t>
      </w:r>
      <w:r w:rsidR="000421EF">
        <w:t>in determining the likelihood of bee exposure to pesticides.  In support of Federally listed threatened/endangered (listed) species assessments</w:t>
      </w:r>
      <w:r>
        <w:t xml:space="preserve"> under the Endangered Species Act</w:t>
      </w:r>
      <w:r w:rsidR="000421EF">
        <w:t>, EPA also evaluates risks to non-target arthropods (NTAs) which may be listed or which serve as prey for listed species. While pesticides are one factor influencing declines in bee health, EPA recognizes that pesticides and other environmental stressors work in combination. Current limitations of this work include: (1) more work is needed to quantitatively link laboratory-based pesticide exposure</w:t>
      </w:r>
      <w:r>
        <w:t xml:space="preserve"> and effects</w:t>
      </w:r>
      <w:r w:rsidR="000421EF">
        <w:t xml:space="preserve"> data to landscape-level impacts, (2) assessment of aggregate risks from multiple pesticides applied to a particular crop/area, (3) ability of results of honey bee-based studies to transfer to non-</w:t>
      </w:r>
      <w:r w:rsidR="000421EF" w:rsidRPr="00C57BC6">
        <w:rPr>
          <w:i/>
          <w:iCs/>
        </w:rPr>
        <w:t>Apis</w:t>
      </w:r>
      <w:r w:rsidR="000421EF">
        <w:t xml:space="preserve"> bees</w:t>
      </w:r>
      <w:r>
        <w:t xml:space="preserve"> and NTAs</w:t>
      </w:r>
      <w:r w:rsidR="000421EF">
        <w:t xml:space="preserve">, and (4) understanding spatiotemporal aspects of pesticide application in relation to pollinator visits and pollination services </w:t>
      </w:r>
      <w:r>
        <w:t>such as</w:t>
      </w:r>
      <w:r w:rsidR="000421EF">
        <w:t xml:space="preserve"> pesticide residue longevity in seed or soil treatments and their effects on specialist pollinators (e.g., ground nesting pollinators). This affects the degree to which “pesticide load” on a particular crop/location equates to direct exposure </w:t>
      </w:r>
      <w:r>
        <w:t xml:space="preserve">of </w:t>
      </w:r>
      <w:r w:rsidR="000421EF">
        <w:t>a particular pollinator.</w:t>
      </w:r>
    </w:p>
    <w:p w14:paraId="759437CA" w14:textId="4C94510E" w:rsidR="008C126C" w:rsidRDefault="5370C5CE" w:rsidP="008C126C">
      <w:pPr>
        <w:pStyle w:val="ListParagraph"/>
        <w:numPr>
          <w:ilvl w:val="0"/>
          <w:numId w:val="4"/>
        </w:numPr>
      </w:pPr>
      <w:r>
        <w:t xml:space="preserve">Understanding </w:t>
      </w:r>
      <w:r w:rsidRPr="454E3BDF">
        <w:rPr>
          <w:i/>
          <w:iCs/>
        </w:rPr>
        <w:t>uncertainty and potential bias in using the CDL as a time series</w:t>
      </w:r>
      <w:r>
        <w:t xml:space="preserve">. </w:t>
      </w:r>
      <w:r w:rsidR="33DB59B7">
        <w:t xml:space="preserve">Despite its strengths, CDL is known to </w:t>
      </w:r>
      <w:r w:rsidR="123CB368">
        <w:t>have inconsistencies in its time series, which may introduce bias into pollination accounts. From 2017 onward, CDL also includes a confidence layer. Further work should evaluate and quantify this potential bias in the context of pollination accounting.</w:t>
      </w:r>
    </w:p>
    <w:p w14:paraId="4884501D" w14:textId="29305E33" w:rsidR="00E03154" w:rsidRDefault="0A2811A5" w:rsidP="008C126C">
      <w:pPr>
        <w:pStyle w:val="ListParagraph"/>
        <w:numPr>
          <w:ilvl w:val="0"/>
          <w:numId w:val="4"/>
        </w:numPr>
      </w:pPr>
      <w:r>
        <w:t xml:space="preserve">The Lonsdorf model focuses on wild insect pollinators of pollination-dependent crops. However, </w:t>
      </w:r>
      <w:r w:rsidRPr="454E3BDF">
        <w:rPr>
          <w:i/>
          <w:iCs/>
        </w:rPr>
        <w:t>other animal species</w:t>
      </w:r>
      <w:r>
        <w:t xml:space="preserve"> including birds, bats, and other mammals pollinate certain crops; future work should identify which U.S. crops benefit from non-insect animal pollination and develop suitable models to account for these values.</w:t>
      </w:r>
    </w:p>
    <w:p w14:paraId="44DD8226" w14:textId="7F3C026C" w:rsidR="00E74953" w:rsidRPr="001D6284" w:rsidRDefault="02AC5320" w:rsidP="00E74953">
      <w:pPr>
        <w:pStyle w:val="ListParagraph"/>
        <w:numPr>
          <w:ilvl w:val="0"/>
          <w:numId w:val="4"/>
        </w:numPr>
      </w:pPr>
      <w:r w:rsidRPr="454E3BDF">
        <w:rPr>
          <w:rStyle w:val="Heading5Char"/>
          <w:rFonts w:asciiTheme="minorHAnsi" w:hAnsiTheme="minorHAnsi" w:cstheme="minorBidi"/>
          <w:color w:val="auto"/>
        </w:rPr>
        <w:t>C</w:t>
      </w:r>
      <w:r w:rsidR="76446BC2" w:rsidRPr="454E3BDF">
        <w:rPr>
          <w:rStyle w:val="Heading5Char"/>
          <w:rFonts w:asciiTheme="minorHAnsi" w:hAnsiTheme="minorHAnsi" w:cstheme="minorBidi"/>
          <w:color w:val="auto"/>
        </w:rPr>
        <w:t xml:space="preserve">hanges in pollinator </w:t>
      </w:r>
      <w:r w:rsidR="00CF0665">
        <w:rPr>
          <w:rStyle w:val="Heading5Char"/>
          <w:rFonts w:asciiTheme="minorHAnsi" w:hAnsiTheme="minorHAnsi" w:cstheme="minorBidi"/>
          <w:color w:val="auto"/>
        </w:rPr>
        <w:t>populations</w:t>
      </w:r>
      <w:r w:rsidR="00CF0665" w:rsidRPr="454E3BDF">
        <w:rPr>
          <w:rStyle w:val="Heading5Char"/>
          <w:rFonts w:asciiTheme="minorHAnsi" w:hAnsiTheme="minorHAnsi" w:cstheme="minorBidi"/>
          <w:color w:val="auto"/>
        </w:rPr>
        <w:t xml:space="preserve"> </w:t>
      </w:r>
      <w:r w:rsidRPr="454E3BDF">
        <w:rPr>
          <w:rStyle w:val="Heading5Char"/>
          <w:rFonts w:asciiTheme="minorHAnsi" w:hAnsiTheme="minorHAnsi" w:cstheme="minorBidi"/>
          <w:color w:val="auto"/>
        </w:rPr>
        <w:t xml:space="preserve">should </w:t>
      </w:r>
      <w:r w:rsidR="76446BC2" w:rsidRPr="454E3BDF">
        <w:rPr>
          <w:rStyle w:val="Heading5Char"/>
          <w:rFonts w:asciiTheme="minorHAnsi" w:hAnsiTheme="minorHAnsi" w:cstheme="minorBidi"/>
          <w:color w:val="auto"/>
        </w:rPr>
        <w:t>be reported in physical flow accounts</w:t>
      </w:r>
      <w:r w:rsidRPr="454E3BDF">
        <w:rPr>
          <w:rStyle w:val="Heading5Char"/>
          <w:rFonts w:asciiTheme="minorHAnsi" w:hAnsiTheme="minorHAnsi" w:cstheme="minorBidi"/>
          <w:color w:val="auto"/>
        </w:rPr>
        <w:t>,</w:t>
      </w:r>
      <w:r w:rsidR="76446BC2" w:rsidRPr="454E3BDF">
        <w:rPr>
          <w:rStyle w:val="Heading5Char"/>
          <w:rFonts w:asciiTheme="minorHAnsi" w:hAnsiTheme="minorHAnsi" w:cstheme="minorBidi"/>
          <w:color w:val="auto"/>
        </w:rPr>
        <w:t xml:space="preserve"> </w:t>
      </w:r>
      <w:r w:rsidRPr="454E3BDF">
        <w:rPr>
          <w:rStyle w:val="Heading5Char"/>
          <w:rFonts w:asciiTheme="minorHAnsi" w:hAnsiTheme="minorHAnsi" w:cstheme="minorBidi"/>
          <w:color w:val="auto"/>
        </w:rPr>
        <w:t>with</w:t>
      </w:r>
      <w:r w:rsidR="76446BC2" w:rsidRPr="454E3BDF">
        <w:rPr>
          <w:rStyle w:val="Heading5Char"/>
          <w:rFonts w:asciiTheme="minorHAnsi" w:hAnsiTheme="minorHAnsi" w:cstheme="minorBidi"/>
          <w:color w:val="auto"/>
        </w:rPr>
        <w:t xml:space="preserve"> pollination thought of as an exchange service to develop monetized values for changes in pollinator stocks.</w:t>
      </w:r>
      <w:r w:rsidR="76446BC2">
        <w:t xml:space="preserve"> </w:t>
      </w:r>
      <w:r w:rsidR="76446BC2" w:rsidRPr="454E3BDF">
        <w:rPr>
          <w:i/>
          <w:iCs/>
        </w:rPr>
        <w:t>Valuation</w:t>
      </w:r>
      <w:r w:rsidR="76446BC2">
        <w:t xml:space="preserve"> of pollinators would need to be done </w:t>
      </w:r>
      <w:r w:rsidR="0007447A">
        <w:t>in as spatially explicit a manner</w:t>
      </w:r>
      <w:r w:rsidR="76446BC2">
        <w:t xml:space="preserve"> as possible. </w:t>
      </w:r>
      <w:r w:rsidR="4625CE95">
        <w:t xml:space="preserve">Pollination results will feed into physical and monetary supply and use tables, with products and industries </w:t>
      </w:r>
      <w:r w:rsidR="02CFDEAB">
        <w:t>aligned to the pollination accounts</w:t>
      </w:r>
      <w:r w:rsidR="4625CE95">
        <w:t xml:space="preserve"> at the finest level possible (</w:t>
      </w:r>
      <w:r w:rsidR="75905ED0" w:rsidRPr="006C392F">
        <w:rPr>
          <w:i/>
          <w:iCs/>
        </w:rPr>
        <w:t>i.e</w:t>
      </w:r>
      <w:r w:rsidR="75905ED0">
        <w:t>., 6-digit NAICS codes and correspondingly fine product classes).</w:t>
      </w:r>
      <w:r w:rsidR="4625CE95">
        <w:t xml:space="preserve"> </w:t>
      </w:r>
      <w:r w:rsidR="02CFDEAB">
        <w:t xml:space="preserve">For instance, BEA currently uses a list of about 5,400 product categories, which can be supplemented by USDA NASS </w:t>
      </w:r>
      <w:r w:rsidR="0007447A">
        <w:t xml:space="preserve">that </w:t>
      </w:r>
      <w:r w:rsidR="02CFDEAB">
        <w:t xml:space="preserve">maintains definitions that could be used to improve </w:t>
      </w:r>
      <w:r w:rsidR="00D13E64">
        <w:t xml:space="preserve">BEA </w:t>
      </w:r>
      <w:r w:rsidR="02CFDEAB">
        <w:t xml:space="preserve">product categories for economically valuable pollination-dependent plants. A final and complete classification should also </w:t>
      </w:r>
      <w:r w:rsidR="5C4FC19A">
        <w:t>distinguish between regions where a particular crop depends on wild or managed pollinators (</w:t>
      </w:r>
      <w:r w:rsidR="0007447A">
        <w:rPr>
          <w:i/>
          <w:iCs/>
        </w:rPr>
        <w:t>e.g</w:t>
      </w:r>
      <w:r w:rsidR="5C4FC19A">
        <w:t xml:space="preserve">., apples grown in the </w:t>
      </w:r>
      <w:r w:rsidR="0007447A">
        <w:t xml:space="preserve">Eastern </w:t>
      </w:r>
      <w:r w:rsidR="5C4FC19A">
        <w:t>U.S. use wild pollinators while those in the Pacific Northwest rely on managed pollinators)</w:t>
      </w:r>
      <w:r w:rsidR="00CB15F1">
        <w:t xml:space="preserve">, </w:t>
      </w:r>
      <w:r w:rsidR="00D33B76">
        <w:t xml:space="preserve">productivity differentials when </w:t>
      </w:r>
      <w:r w:rsidR="00305EBA">
        <w:t xml:space="preserve">using managed versus wild pollinators, </w:t>
      </w:r>
      <w:r w:rsidR="00CB15F1">
        <w:t>and which crops require specialist versus generalist pollinators</w:t>
      </w:r>
      <w:r w:rsidR="5C4FC19A">
        <w:t>.</w:t>
      </w:r>
      <w:r w:rsidR="02CFDEAB" w:rsidRPr="454E3BDF">
        <w:rPr>
          <w:b/>
          <w:bCs/>
        </w:rPr>
        <w:t xml:space="preserve"> </w:t>
      </w:r>
      <w:r w:rsidR="5C4FC19A">
        <w:t>Careful attention to these details will</w:t>
      </w:r>
      <w:r w:rsidR="755EF690">
        <w:t xml:space="preserve"> allow pollination accounts to be as specific as possible to different industries</w:t>
      </w:r>
      <w:r w:rsidR="75905ED0">
        <w:t xml:space="preserve"> and products</w:t>
      </w:r>
      <w:r w:rsidR="755EF690">
        <w:t>.</w:t>
      </w:r>
    </w:p>
    <w:p w14:paraId="0C5C3FCC" w14:textId="36BBEE45" w:rsidR="00796428" w:rsidRDefault="008C126C" w:rsidP="32E6478D">
      <w:r w:rsidRPr="32E6478D">
        <w:rPr>
          <w:b/>
          <w:bCs/>
        </w:rPr>
        <w:lastRenderedPageBreak/>
        <w:t>Relationship to production</w:t>
      </w:r>
      <w:r w:rsidR="11E92B9A" w:rsidRPr="32E6478D">
        <w:rPr>
          <w:b/>
          <w:bCs/>
        </w:rPr>
        <w:t>, household production, and defensive expenditures</w:t>
      </w:r>
      <w:r w:rsidRPr="32E6478D">
        <w:rPr>
          <w:b/>
          <w:bCs/>
        </w:rPr>
        <w:t xml:space="preserve"> boundar</w:t>
      </w:r>
      <w:r w:rsidR="2207BF4A" w:rsidRPr="32E6478D">
        <w:rPr>
          <w:b/>
          <w:bCs/>
        </w:rPr>
        <w:t>ies</w:t>
      </w:r>
      <w:r w:rsidRPr="32E6478D">
        <w:rPr>
          <w:b/>
          <w:bCs/>
        </w:rPr>
        <w:t xml:space="preserve">. </w:t>
      </w:r>
      <w:r w:rsidR="28B84DD9">
        <w:t>Wild p</w:t>
      </w:r>
      <w:r>
        <w:t xml:space="preserve">ollination </w:t>
      </w:r>
      <w:r w:rsidR="6FE06371">
        <w:t>of commercially grown</w:t>
      </w:r>
      <w:r w:rsidR="7E77FB68">
        <w:t>, pollination-dependent</w:t>
      </w:r>
      <w:r w:rsidR="6FE06371">
        <w:t xml:space="preserve"> crops </w:t>
      </w:r>
      <w:r w:rsidR="6E998B84">
        <w:t xml:space="preserve">or </w:t>
      </w:r>
      <w:r w:rsidR="6FE06371">
        <w:t xml:space="preserve">other </w:t>
      </w:r>
      <w:r w:rsidR="515D7F21">
        <w:t xml:space="preserve">harvested </w:t>
      </w:r>
      <w:r w:rsidR="6FE06371">
        <w:t xml:space="preserve">plants (Fig. 1, cases 1 and 3) </w:t>
      </w:r>
      <w:r>
        <w:t>is an intermediate ecosystem service whose end products (</w:t>
      </w:r>
      <w:r w:rsidR="0007447A">
        <w:t xml:space="preserve">i.e., </w:t>
      </w:r>
      <w:r>
        <w:t>crops</w:t>
      </w:r>
      <w:r w:rsidR="0048611B">
        <w:t xml:space="preserve"> or other pollination-dependent harvested plant species</w:t>
      </w:r>
      <w:r>
        <w:t>) are included in the System of National Accounts</w:t>
      </w:r>
      <w:r w:rsidR="42A28E17">
        <w:t xml:space="preserve"> (Figure 2)</w:t>
      </w:r>
      <w:r>
        <w:t xml:space="preserve">. </w:t>
      </w:r>
      <w:r w:rsidR="6D3F974C">
        <w:t xml:space="preserve">While </w:t>
      </w:r>
      <w:r w:rsidR="13528732">
        <w:t xml:space="preserve">pollination-dependent </w:t>
      </w:r>
      <w:r w:rsidR="6D3F974C">
        <w:t xml:space="preserve">commercial crops or other harvested plants fall within the </w:t>
      </w:r>
      <w:r w:rsidR="1531D54D">
        <w:t xml:space="preserve">SNA </w:t>
      </w:r>
      <w:r w:rsidR="6D3F974C">
        <w:t xml:space="preserve">production boundary, the wild pollination contribution to them is mis-attributed together with other inputs to </w:t>
      </w:r>
      <w:r w:rsidR="1934EB74">
        <w:t>agriculture</w:t>
      </w:r>
      <w:r w:rsidR="6D3F974C">
        <w:t>, and should be split</w:t>
      </w:r>
      <w:r w:rsidR="3FCB9007">
        <w:t xml:space="preserve"> from the labor and physical capital contributions</w:t>
      </w:r>
      <w:r w:rsidR="6D3F974C">
        <w:t xml:space="preserve">. </w:t>
      </w:r>
      <w:r w:rsidR="00153D36">
        <w:t>P</w:t>
      </w:r>
      <w:r>
        <w:t>roduction-</w:t>
      </w:r>
      <w:r w:rsidR="5EC70749">
        <w:t xml:space="preserve">grade </w:t>
      </w:r>
      <w:r>
        <w:t>pollination account</w:t>
      </w:r>
      <w:r w:rsidR="00153D36">
        <w:t>s</w:t>
      </w:r>
      <w:r>
        <w:t xml:space="preserve"> will also account for </w:t>
      </w:r>
      <w:r w:rsidR="00EA0514">
        <w:t>the contributions by ecosystems to</w:t>
      </w:r>
      <w:r>
        <w:t xml:space="preserve"> managed pollination (</w:t>
      </w:r>
      <w:r w:rsidRPr="32E6478D">
        <w:rPr>
          <w:i/>
          <w:iCs/>
        </w:rPr>
        <w:t>i.e</w:t>
      </w:r>
      <w:r>
        <w:t xml:space="preserve">., </w:t>
      </w:r>
      <w:r w:rsidR="00EA0514">
        <w:t>by providing “free” forage to managed pollinators</w:t>
      </w:r>
      <w:r w:rsidR="4D58200F">
        <w:t>; Fig. 1, case 2</w:t>
      </w:r>
      <w:r>
        <w:t xml:space="preserve">), which </w:t>
      </w:r>
      <w:r w:rsidR="00EA0514">
        <w:t>fall</w:t>
      </w:r>
      <w:r>
        <w:t xml:space="preserve"> within the production boundary</w:t>
      </w:r>
      <w:r w:rsidR="00AC2050">
        <w:t xml:space="preserve"> but are a defensive expenditure by farmers</w:t>
      </w:r>
      <w:r>
        <w:t>.</w:t>
      </w:r>
      <w:r w:rsidRPr="32E6478D">
        <w:rPr>
          <w:rStyle w:val="FootnoteReference"/>
        </w:rPr>
        <w:footnoteReference w:id="45"/>
      </w:r>
      <w:r w:rsidR="36949107">
        <w:t xml:space="preserve"> Climate change may also necessitate additional defensive expenditures related to pollination, which should be tracked in pollination accou</w:t>
      </w:r>
      <w:r w:rsidR="04D7CED7">
        <w:t>nts</w:t>
      </w:r>
      <w:r w:rsidR="36949107">
        <w:t xml:space="preserve">, including supplemental feeding of managed pollinators </w:t>
      </w:r>
      <w:r w:rsidR="0143693B">
        <w:t xml:space="preserve">during warmer winter periods where pollinators are active but natural floral resources are unavailable, </w:t>
      </w:r>
      <w:r w:rsidR="36949107">
        <w:t>and the use of cold storage for overwintering of colonies.</w:t>
      </w:r>
      <w:r w:rsidR="009972B1">
        <w:t xml:space="preserve"> </w:t>
      </w:r>
      <w:r w:rsidR="4259C3CC">
        <w:t xml:space="preserve">Finally, </w:t>
      </w:r>
      <w:r w:rsidR="2B5B17CA">
        <w:t xml:space="preserve">pollinator contributions to the </w:t>
      </w:r>
      <w:r w:rsidR="009972B1">
        <w:t>harvest of pollination-dependent plants</w:t>
      </w:r>
      <w:r w:rsidR="4B44EAA4">
        <w:t xml:space="preserve"> (Fig. 1, cases 1 and 3) by households rather tha</w:t>
      </w:r>
      <w:r w:rsidR="7A981299">
        <w:t>n agricultural industries</w:t>
      </w:r>
      <w:r w:rsidR="009972B1">
        <w:t xml:space="preserve"> is conceptually within the SNA production boundary as </w:t>
      </w:r>
      <w:r w:rsidR="009972B1" w:rsidRPr="32E6478D">
        <w:rPr>
          <w:i/>
          <w:iCs/>
        </w:rPr>
        <w:t>household production</w:t>
      </w:r>
      <w:r w:rsidR="009972B1">
        <w:t>, which is generally not included in the U.S. National Income and Product Accounts due to measurement challenges.</w:t>
      </w:r>
    </w:p>
    <w:p w14:paraId="10707796" w14:textId="4766FE8B" w:rsidR="00673EA2" w:rsidRDefault="00673EA2" w:rsidP="00EB5A62">
      <w:r>
        <w:rPr>
          <w:noProof/>
        </w:rPr>
        <w:drawing>
          <wp:inline distT="0" distB="0" distL="0" distR="0" wp14:anchorId="554005B8" wp14:editId="07565B6D">
            <wp:extent cx="4552950" cy="354264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55783" cy="3544847"/>
                    </a:xfrm>
                    <a:prstGeom prst="rect">
                      <a:avLst/>
                    </a:prstGeom>
                  </pic:spPr>
                </pic:pic>
              </a:graphicData>
            </a:graphic>
          </wp:inline>
        </w:drawing>
      </w:r>
    </w:p>
    <w:p w14:paraId="7831C3EA" w14:textId="14B2AF75" w:rsidR="009C1B21" w:rsidRDefault="009C1B21" w:rsidP="00EB5A62">
      <w:r w:rsidRPr="009C1B21">
        <w:rPr>
          <w:b/>
          <w:bCs/>
        </w:rPr>
        <w:t>Figure 2</w:t>
      </w:r>
      <w:r>
        <w:t xml:space="preserve">. </w:t>
      </w:r>
      <w:r w:rsidR="00BC766A">
        <w:t>(</w:t>
      </w:r>
      <w:r>
        <w:t xml:space="preserve">A) Pollination as a contribution to </w:t>
      </w:r>
      <w:r w:rsidR="00AB37CF">
        <w:t xml:space="preserve">economic units that harvest and sell pollination-dependent </w:t>
      </w:r>
      <w:r w:rsidR="00BC766A">
        <w:t>biomass (</w:t>
      </w:r>
      <w:r w:rsidR="00BC766A" w:rsidRPr="006C392F">
        <w:rPr>
          <w:i/>
          <w:iCs/>
        </w:rPr>
        <w:t>i.e</w:t>
      </w:r>
      <w:r w:rsidR="00BC766A">
        <w:t xml:space="preserve">., </w:t>
      </w:r>
      <w:r w:rsidR="00AB37CF">
        <w:t>plants</w:t>
      </w:r>
      <w:r w:rsidR="00BC766A">
        <w:t xml:space="preserve">, </w:t>
      </w:r>
      <w:r w:rsidR="00AB37CF">
        <w:t xml:space="preserve">as crops, timber, or other materials). Pollination accounts quantify </w:t>
      </w:r>
      <w:r w:rsidR="00BC766A">
        <w:t xml:space="preserve">the ecosystem </w:t>
      </w:r>
      <w:r w:rsidR="00BC766A">
        <w:lastRenderedPageBreak/>
        <w:t xml:space="preserve">contribution of </w:t>
      </w:r>
      <w:r w:rsidR="00AB37CF">
        <w:t xml:space="preserve">pollination as an intermediate service beyond the System of National Accounts </w:t>
      </w:r>
      <w:r w:rsidR="00BC766A">
        <w:t xml:space="preserve">(SNA) </w:t>
      </w:r>
      <w:r w:rsidR="00AB37CF">
        <w:t>production boundary.</w:t>
      </w:r>
      <w:r>
        <w:t xml:space="preserve"> </w:t>
      </w:r>
      <w:r w:rsidR="00BC766A">
        <w:t>(</w:t>
      </w:r>
      <w:r>
        <w:t>B) Pollination as a contribution to household production</w:t>
      </w:r>
      <w:r w:rsidR="00BC766A">
        <w:t>, which is considered within the SNA production boundary but is often unquantified due to data limitations. Pollination accounts quantify the ecosystem contribution of pollination as an intermediate service. (C) Managed pollinators are a defensive expenditure for farming when natural pollinator populations are inadequate to supply needed pollination. Managed pollination falls within the SNA boundary but pollination accounts can include the ecosystem contribution of wild forage that supports managed pollinator colonies. Figure patterned after Vardon, M. 2022. Distinguishing and valuing the water provisioning service, water as a natural resource and the product “natural water” (CPC 1800). Paper for the 28</w:t>
      </w:r>
      <w:r w:rsidR="00BC766A" w:rsidRPr="00BC766A">
        <w:rPr>
          <w:vertAlign w:val="superscript"/>
        </w:rPr>
        <w:t>th</w:t>
      </w:r>
      <w:r w:rsidR="00BC766A">
        <w:t xml:space="preserve"> Meeting of the London Group, Bonn, Germany, 26-29 Sept. 2022. </w:t>
      </w:r>
      <w:hyperlink r:id="rId17" w:history="1">
        <w:r w:rsidR="00BC766A" w:rsidRPr="006B7F68">
          <w:rPr>
            <w:rStyle w:val="Hyperlink"/>
          </w:rPr>
          <w:t>https://seea.un.org/sites/seea.un.org/files/vardon.pdf</w:t>
        </w:r>
      </w:hyperlink>
      <w:r w:rsidR="00BC766A">
        <w:t xml:space="preserve"> </w:t>
      </w:r>
    </w:p>
    <w:p w14:paraId="7DC27F0A" w14:textId="2E4951D0" w:rsidR="00FA00B2" w:rsidRDefault="00111134" w:rsidP="00FA00B2">
      <w:pPr>
        <w:pStyle w:val="Heading2"/>
      </w:pPr>
      <w:r>
        <w:t>Source Data and Methodologies</w:t>
      </w:r>
    </w:p>
    <w:p w14:paraId="167098C4" w14:textId="548FCFD0" w:rsidR="00E74953" w:rsidRDefault="00AA2459" w:rsidP="00E74953">
      <w:r>
        <w:t xml:space="preserve">Key data sources include: </w:t>
      </w:r>
    </w:p>
    <w:p w14:paraId="11DC7529" w14:textId="126D8A2D" w:rsidR="00E74953" w:rsidRDefault="00FC3A7B" w:rsidP="00E74953">
      <w:pPr>
        <w:pStyle w:val="ListParagraph"/>
        <w:numPr>
          <w:ilvl w:val="0"/>
          <w:numId w:val="9"/>
        </w:numPr>
      </w:pPr>
      <w:r>
        <w:t xml:space="preserve">USDA </w:t>
      </w:r>
      <w:r w:rsidR="0007447A">
        <w:t>CDL</w:t>
      </w:r>
      <w:r>
        <w:t>,</w:t>
      </w:r>
      <w:r w:rsidR="00F603A3">
        <w:t xml:space="preserve"> available for the continental U.S. from 2008 onward, which identifies the location of major types of crop fields at 30 m spatial resolution</w:t>
      </w:r>
      <w:r w:rsidR="0048611B">
        <w:t xml:space="preserve">. A similar dataset is available for Hawai’i for the years 2015 and 2020. </w:t>
      </w:r>
      <w:r w:rsidR="008A2ECD">
        <w:t xml:space="preserve">If similar USDA data exist for the harvest/growing locations for other commercially valued plants that are dependent on pollination </w:t>
      </w:r>
      <w:r w:rsidR="0007447A">
        <w:t>(</w:t>
      </w:r>
      <w:r w:rsidR="008A2ECD">
        <w:t>including timber, non-timber forest products, and plants sold by commercial nurseries</w:t>
      </w:r>
      <w:r w:rsidR="0007447A">
        <w:t>)</w:t>
      </w:r>
      <w:r w:rsidR="008A2ECD">
        <w:t>, these data can be similarly used to map, model, and value their pollination.</w:t>
      </w:r>
    </w:p>
    <w:p w14:paraId="3A7F81D4" w14:textId="27A4554A" w:rsidR="00E74953" w:rsidRDefault="00E74953" w:rsidP="00E74953">
      <w:pPr>
        <w:pStyle w:val="ListParagraph"/>
        <w:numPr>
          <w:ilvl w:val="0"/>
          <w:numId w:val="9"/>
        </w:numPr>
      </w:pPr>
      <w:r>
        <w:t xml:space="preserve">National Land Cover Database, </w:t>
      </w:r>
      <w:r w:rsidR="00F603A3">
        <w:t xml:space="preserve">which maps non-crop land cover types more accurately than CDL every 2-3 years at 30 m resolution. The </w:t>
      </w:r>
      <w:r w:rsidR="00F77A09">
        <w:t>Land Change Monitoring, Assessment, and Projection (</w:t>
      </w:r>
      <w:r w:rsidR="00F603A3">
        <w:t>LCMAP</w:t>
      </w:r>
      <w:r w:rsidR="00F77A09">
        <w:t>)</w:t>
      </w:r>
      <w:r w:rsidR="00F603A3">
        <w:t xml:space="preserve"> Project provides an annual land cover product with lower thematic resolution (i.e., fewer land cover classes) than NLCD</w:t>
      </w:r>
      <w:r w:rsidR="0048611B">
        <w:t>, and is planned to be merged into a next-generation NLCD product</w:t>
      </w:r>
      <w:r w:rsidR="00F603A3">
        <w:t>.</w:t>
      </w:r>
    </w:p>
    <w:p w14:paraId="40C97139" w14:textId="046CD337" w:rsidR="00FA358F" w:rsidRDefault="00E74953" w:rsidP="00E74953">
      <w:pPr>
        <w:pStyle w:val="ListParagraph"/>
        <w:numPr>
          <w:ilvl w:val="0"/>
          <w:numId w:val="9"/>
        </w:numPr>
      </w:pPr>
      <w:r>
        <w:t>P</w:t>
      </w:r>
      <w:r w:rsidR="00FC3A7B">
        <w:t>ollination dependenc</w:t>
      </w:r>
      <w:r w:rsidR="686E1841">
        <w:t>y</w:t>
      </w:r>
      <w:r w:rsidR="00FC3A7B">
        <w:t xml:space="preserve"> </w:t>
      </w:r>
      <w:r w:rsidR="00FA358F">
        <w:t>by crop type, currently expert-derived but to be improved through field experiments</w:t>
      </w:r>
      <w:r w:rsidR="00E76F3D">
        <w:t xml:space="preserve"> (potentially improving on published 2018 USDA crop attractiveness data)</w:t>
      </w:r>
      <w:r w:rsidR="00FA358F">
        <w:t xml:space="preserve">. </w:t>
      </w:r>
    </w:p>
    <w:p w14:paraId="15B53476" w14:textId="5BCA2752" w:rsidR="00E74953" w:rsidRDefault="00FA358F" w:rsidP="00E74953">
      <w:pPr>
        <w:pStyle w:val="ListParagraph"/>
        <w:numPr>
          <w:ilvl w:val="0"/>
          <w:numId w:val="9"/>
        </w:numPr>
      </w:pPr>
      <w:r>
        <w:t xml:space="preserve">Habitat value </w:t>
      </w:r>
      <w:r w:rsidR="00FC3A7B">
        <w:t xml:space="preserve">coefficients, </w:t>
      </w:r>
      <w:r>
        <w:t>currently generalized to a single generic pollinator but to be improved for major pollinator guilds.</w:t>
      </w:r>
    </w:p>
    <w:p w14:paraId="62900265" w14:textId="75536301" w:rsidR="00E74953" w:rsidRDefault="00FC3A7B" w:rsidP="00E74953">
      <w:pPr>
        <w:pStyle w:val="ListParagraph"/>
        <w:numPr>
          <w:ilvl w:val="0"/>
          <w:numId w:val="9"/>
        </w:numPr>
      </w:pPr>
      <w:r>
        <w:t>NASS crop yield and price data</w:t>
      </w:r>
      <w:r w:rsidR="00F603A3">
        <w:t xml:space="preserve"> used for valuation</w:t>
      </w:r>
      <w:r w:rsidR="00FA358F">
        <w:t>.</w:t>
      </w:r>
    </w:p>
    <w:p w14:paraId="38E61D81" w14:textId="6BFCFFAC" w:rsidR="5B840DAD" w:rsidRDefault="5B840DAD" w:rsidP="4E6819EE">
      <w:pPr>
        <w:pStyle w:val="ListParagraph"/>
        <w:numPr>
          <w:ilvl w:val="0"/>
          <w:numId w:val="9"/>
        </w:numPr>
        <w:rPr>
          <w:rFonts w:eastAsiaTheme="minorEastAsia"/>
        </w:rPr>
      </w:pPr>
      <w:r>
        <w:t>NASS surveys on H</w:t>
      </w:r>
      <w:r w:rsidRPr="00AF7A9C">
        <w:rPr>
          <w:rFonts w:ascii="Calibri" w:eastAsia="Calibri" w:hAnsi="Calibri" w:cs="Calibri"/>
        </w:rPr>
        <w:t>oney, Honey Bee Colonies, and the Cost of Pollination Services may be useful in quantifying the value of wild forage to managed pollinators</w:t>
      </w:r>
      <w:r w:rsidRPr="32E6478D">
        <w:rPr>
          <w:rFonts w:ascii="Calibri" w:eastAsia="Calibri" w:hAnsi="Calibri" w:cs="Calibri"/>
        </w:rPr>
        <w:t xml:space="preserve"> and their associated economic benefits</w:t>
      </w:r>
      <w:r w:rsidRPr="00AF7A9C">
        <w:rPr>
          <w:rFonts w:ascii="Calibri" w:eastAsia="Calibri" w:hAnsi="Calibri" w:cs="Calibri"/>
        </w:rPr>
        <w:t>.</w:t>
      </w:r>
    </w:p>
    <w:p w14:paraId="0361E050" w14:textId="7A70210E" w:rsidR="00FC3A7B" w:rsidRDefault="76446BC2" w:rsidP="00E74953">
      <w:pPr>
        <w:pStyle w:val="ListParagraph"/>
        <w:numPr>
          <w:ilvl w:val="0"/>
          <w:numId w:val="9"/>
        </w:numPr>
      </w:pPr>
      <w:r>
        <w:t>Pesticide</w:t>
      </w:r>
      <w:r w:rsidR="00D72E1F">
        <w:rPr>
          <w:rStyle w:val="FootnoteReference"/>
        </w:rPr>
        <w:footnoteReference w:id="46"/>
      </w:r>
      <w:r w:rsidR="4111E39A">
        <w:t xml:space="preserve"> and air pollution data (</w:t>
      </w:r>
      <w:r w:rsidR="1F185B98" w:rsidRPr="32E6478D">
        <w:rPr>
          <w:i/>
          <w:iCs/>
        </w:rPr>
        <w:t>e.g</w:t>
      </w:r>
      <w:r w:rsidR="1F185B98">
        <w:t>., EPA</w:t>
      </w:r>
      <w:r w:rsidR="4111E39A">
        <w:t xml:space="preserve">), which can </w:t>
      </w:r>
      <w:r w:rsidR="1F185B98">
        <w:t>impact pollinators and pollination.</w:t>
      </w:r>
      <w:r w:rsidR="00D72E1F">
        <w:rPr>
          <w:rStyle w:val="FootnoteReference"/>
        </w:rPr>
        <w:footnoteReference w:id="47"/>
      </w:r>
      <w:r w:rsidR="1F185B98">
        <w:t xml:space="preserve"> </w:t>
      </w:r>
    </w:p>
    <w:p w14:paraId="0B1A82B0" w14:textId="048975A8" w:rsidR="00F603A3" w:rsidRDefault="7004B0A3" w:rsidP="00E74953">
      <w:pPr>
        <w:pStyle w:val="ListParagraph"/>
        <w:numPr>
          <w:ilvl w:val="0"/>
          <w:numId w:val="9"/>
        </w:numPr>
      </w:pPr>
      <w:r>
        <w:lastRenderedPageBreak/>
        <w:t xml:space="preserve">Native insect monitoring efforts, </w:t>
      </w:r>
      <w:r w:rsidR="17528D7C">
        <w:t>including the USDA-funded National Native Bee Monitoring Research Coordination Network</w:t>
      </w:r>
      <w:r w:rsidR="00E76F3D">
        <w:t xml:space="preserve"> (RCN)</w:t>
      </w:r>
      <w:r w:rsidR="17528D7C">
        <w:t xml:space="preserve">, </w:t>
      </w:r>
      <w:r>
        <w:t>which may provide future input to pollination models</w:t>
      </w:r>
      <w:r w:rsidR="00F603A3">
        <w:rPr>
          <w:rStyle w:val="FootnoteReference"/>
        </w:rPr>
        <w:footnoteReference w:id="48"/>
      </w:r>
    </w:p>
    <w:p w14:paraId="0E1750E2" w14:textId="1B95135B" w:rsidR="00140C2E" w:rsidRDefault="096FEE47" w:rsidP="00C46E9A">
      <w:r w:rsidRPr="454E3BDF">
        <w:rPr>
          <w:b/>
          <w:bCs/>
        </w:rPr>
        <w:t xml:space="preserve">Novel </w:t>
      </w:r>
      <w:r w:rsidR="59DA273A" w:rsidRPr="454E3BDF">
        <w:rPr>
          <w:b/>
          <w:bCs/>
        </w:rPr>
        <w:t xml:space="preserve">data </w:t>
      </w:r>
      <w:r w:rsidRPr="454E3BDF">
        <w:rPr>
          <w:b/>
          <w:bCs/>
        </w:rPr>
        <w:t xml:space="preserve">collection </w:t>
      </w:r>
      <w:r w:rsidR="59DA273A" w:rsidRPr="454E3BDF">
        <w:rPr>
          <w:b/>
          <w:bCs/>
        </w:rPr>
        <w:t>needs</w:t>
      </w:r>
      <w:r w:rsidR="59DA273A">
        <w:t xml:space="preserve">, </w:t>
      </w:r>
      <w:r>
        <w:t xml:space="preserve">including </w:t>
      </w:r>
      <w:r w:rsidR="00E76F3D">
        <w:t xml:space="preserve">novel </w:t>
      </w:r>
      <w:r>
        <w:t>sensors or survey deployment</w:t>
      </w:r>
      <w:r w:rsidR="59DA273A">
        <w:t xml:space="preserve">, include: </w:t>
      </w:r>
      <w:r w:rsidR="19C042AC">
        <w:t>Industry, job, and product codes should be reviewed and revisions proposed as needed to inform the development of pollination accounts (</w:t>
      </w:r>
      <w:r w:rsidR="19C042AC" w:rsidRPr="00D0366E">
        <w:rPr>
          <w:i/>
          <w:iCs/>
        </w:rPr>
        <w:t>i.e</w:t>
      </w:r>
      <w:r w:rsidR="19C042AC">
        <w:t xml:space="preserve">., </w:t>
      </w:r>
      <w:r w:rsidR="5D7A9A1F">
        <w:t xml:space="preserve">for apiculture). </w:t>
      </w:r>
      <w:r w:rsidR="6D8E6360">
        <w:t xml:space="preserve">Further questions for potential collection by statistical agencies on periodic surveys and censuses will be determined as production of the accounts progresses. </w:t>
      </w:r>
      <w:r w:rsidR="00615B60">
        <w:t xml:space="preserve">Other </w:t>
      </w:r>
      <w:r w:rsidR="3A81495F">
        <w:t>n</w:t>
      </w:r>
      <w:r w:rsidR="00615B60">
        <w:t>ew data sources</w:t>
      </w:r>
      <w:r w:rsidR="5AF321DD">
        <w:t xml:space="preserve"> are</w:t>
      </w:r>
      <w:r w:rsidR="00615B60">
        <w:t xml:space="preserve"> needed</w:t>
      </w:r>
      <w:r w:rsidR="306D3855">
        <w:t>, particularly for</w:t>
      </w:r>
      <w:r w:rsidR="66CE2959">
        <w:t xml:space="preserve"> better measuring</w:t>
      </w:r>
      <w:r w:rsidR="306D3855">
        <w:t xml:space="preserve"> pollination outside CONUS, </w:t>
      </w:r>
      <w:r w:rsidR="1B7DFC08">
        <w:t>better quantifying</w:t>
      </w:r>
      <w:r w:rsidR="306D3855">
        <w:t xml:space="preserve"> expert-derived coefficients</w:t>
      </w:r>
      <w:r w:rsidR="2D57E36D">
        <w:t xml:space="preserve"> (</w:t>
      </w:r>
      <w:r w:rsidR="2D57E36D" w:rsidRPr="004204F4">
        <w:rPr>
          <w:i/>
          <w:iCs/>
        </w:rPr>
        <w:t>e.g</w:t>
      </w:r>
      <w:r w:rsidR="2D57E36D">
        <w:t xml:space="preserve">., through field experiments, including robotics and AI to quantify </w:t>
      </w:r>
      <w:r w:rsidR="65738D8E">
        <w:t>pollination dependence)</w:t>
      </w:r>
      <w:r w:rsidR="53C46E21">
        <w:t>, and addressing data gaps for important non-insect pollinators.</w:t>
      </w:r>
    </w:p>
    <w:p w14:paraId="1FCDC5CB" w14:textId="43A5AD0D" w:rsidR="00D17FFA" w:rsidRPr="00D17FFA" w:rsidRDefault="59DA273A" w:rsidP="454E3BDF">
      <w:r w:rsidRPr="454E3BDF">
        <w:rPr>
          <w:b/>
          <w:bCs/>
        </w:rPr>
        <w:t>MOUs or data purchases required</w:t>
      </w:r>
      <w:r>
        <w:t xml:space="preserve">: </w:t>
      </w:r>
      <w:r w:rsidR="404FC3A6">
        <w:t xml:space="preserve">Depending on which agency finalizes compilation of the pollination accounts, </w:t>
      </w:r>
      <w:r w:rsidR="117CA95E">
        <w:t>access to Census of Ag</w:t>
      </w:r>
      <w:r w:rsidR="4A2221A3">
        <w:t>riculture</w:t>
      </w:r>
      <w:r w:rsidR="117CA95E">
        <w:t xml:space="preserve"> microdata </w:t>
      </w:r>
      <w:r w:rsidR="637B255D">
        <w:t>may nece</w:t>
      </w:r>
      <w:r w:rsidR="117CA95E">
        <w:t>s</w:t>
      </w:r>
      <w:r w:rsidR="637B255D">
        <w:t>sitate a MOU or access to secure facility</w:t>
      </w:r>
      <w:r w:rsidR="117CA95E">
        <w:t xml:space="preserve">. </w:t>
      </w:r>
      <w:r w:rsidR="61A23F00">
        <w:t>Other MOUs or data purchases will be noted as the production of accounts progresses.</w:t>
      </w:r>
    </w:p>
    <w:p w14:paraId="249AC1FB" w14:textId="78AB5EFC" w:rsidR="00D17FFA" w:rsidRPr="00533634" w:rsidRDefault="59DA273A" w:rsidP="00D17FFA">
      <w:r w:rsidRPr="454E3BDF">
        <w:rPr>
          <w:b/>
          <w:bCs/>
        </w:rPr>
        <w:t>Heavy-lift data management</w:t>
      </w:r>
      <w:r>
        <w:t xml:space="preserve"> tasks: </w:t>
      </w:r>
      <w:r w:rsidR="56C3620D">
        <w:t>NRCS</w:t>
      </w:r>
      <w:r w:rsidR="68D9577D">
        <w:t>’</w:t>
      </w:r>
      <w:r w:rsidR="56C3620D">
        <w:t xml:space="preserve"> PLANTS Database</w:t>
      </w:r>
      <w:r w:rsidR="00E76F3D">
        <w:rPr>
          <w:rStyle w:val="FootnoteReference"/>
        </w:rPr>
        <w:footnoteReference w:id="49"/>
      </w:r>
      <w:r w:rsidR="0BD9D779">
        <w:t xml:space="preserve"> is being expanded to include c</w:t>
      </w:r>
      <w:r w:rsidR="56C3620D">
        <w:t xml:space="preserve">ultivated crops; plant-specific information </w:t>
      </w:r>
      <w:r w:rsidR="15CFDF8B">
        <w:t>on plant-pollinator relationships will need to be coordinated</w:t>
      </w:r>
      <w:r w:rsidR="56C3620D">
        <w:t xml:space="preserve"> into PLANTS. Computational work on modeling pollination</w:t>
      </w:r>
      <w:r w:rsidR="0A0B1707">
        <w:t>. National-scale modeling for crop pollination requires high-performance computing, which requires some technical expertise and time, but should continue to get easier with time.</w:t>
      </w:r>
    </w:p>
    <w:p w14:paraId="5ABFE65C" w14:textId="77777777" w:rsidR="00C46E9A" w:rsidRPr="00533634" w:rsidRDefault="00C46E9A" w:rsidP="00C46E9A">
      <w:r w:rsidRPr="00533634">
        <w:rPr>
          <w:b/>
          <w:bCs/>
        </w:rPr>
        <w:t>General methodologies</w:t>
      </w:r>
      <w:r w:rsidRPr="00533634">
        <w:t xml:space="preserve">, including novel methodological development include: </w:t>
      </w:r>
    </w:p>
    <w:p w14:paraId="519CEDF5" w14:textId="0D2F0038" w:rsidR="009F4591" w:rsidRDefault="00140C2E" w:rsidP="00C46E9A">
      <w:r>
        <w:t xml:space="preserve">Given the successful production of the </w:t>
      </w:r>
      <w:r w:rsidR="0007447A">
        <w:t>CDL</w:t>
      </w:r>
      <w:r>
        <w:t xml:space="preserve"> – a high-resolution, annual, low-latency product</w:t>
      </w:r>
      <w:r w:rsidR="00C46E9A">
        <w:t xml:space="preserve"> that identifies the location of major crops, including pollination-dependent ones</w:t>
      </w:r>
      <w:r w:rsidR="00AA2459">
        <w:t xml:space="preserve">, the U.S. is well poised to produce some of the world’s most rigorous pollination accounts. Other countries like Canada produce data products similar to the CDL and could follow the U.S.’s lead in producing these accounts. </w:t>
      </w:r>
    </w:p>
    <w:p w14:paraId="3958FDD8" w14:textId="506317E8" w:rsidR="4BCC4F12" w:rsidRDefault="4BCC4F12" w:rsidP="4BCC4F12">
      <w:r w:rsidRPr="026301B8">
        <w:rPr>
          <w:b/>
          <w:bCs/>
        </w:rPr>
        <w:t>Cross-agency dependencies for data, valuation, and account</w:t>
      </w:r>
      <w:r w:rsidR="00153D36">
        <w:rPr>
          <w:b/>
          <w:bCs/>
        </w:rPr>
        <w:t>s</w:t>
      </w:r>
      <w:r w:rsidRPr="026301B8">
        <w:rPr>
          <w:b/>
          <w:bCs/>
        </w:rPr>
        <w:t xml:space="preserve"> compilation</w:t>
      </w:r>
    </w:p>
    <w:p w14:paraId="52E9C501" w14:textId="42F0DA4D" w:rsidR="00901606" w:rsidRDefault="00901606" w:rsidP="4BCC4F12">
      <w:r>
        <w:rPr>
          <w:noProof/>
        </w:rPr>
        <w:lastRenderedPageBreak/>
        <w:drawing>
          <wp:inline distT="0" distB="0" distL="0" distR="0" wp14:anchorId="2CF383C1" wp14:editId="15125D68">
            <wp:extent cx="5739130" cy="3433054"/>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9130" cy="3433054"/>
                    </a:xfrm>
                    <a:prstGeom prst="rect">
                      <a:avLst/>
                    </a:prstGeom>
                  </pic:spPr>
                </pic:pic>
              </a:graphicData>
            </a:graphic>
          </wp:inline>
        </w:drawing>
      </w:r>
    </w:p>
    <w:p w14:paraId="49ED14E9" w14:textId="77777777" w:rsidR="00AC18EB" w:rsidRDefault="00AC18EB" w:rsidP="00796428">
      <w:pPr>
        <w:pStyle w:val="Heading2"/>
      </w:pPr>
    </w:p>
    <w:p w14:paraId="408F7F82" w14:textId="24C73FA8" w:rsidR="00796428" w:rsidRDefault="00796428" w:rsidP="00796428">
      <w:pPr>
        <w:pStyle w:val="Heading2"/>
      </w:pPr>
      <w:r>
        <w:t>FY23 Tasks</w:t>
      </w:r>
    </w:p>
    <w:p w14:paraId="4D424118" w14:textId="41C0884A" w:rsidR="00E0690D" w:rsidRDefault="00153D36" w:rsidP="00DE3E0B">
      <w:r>
        <w:t>I</w:t>
      </w:r>
      <w:r w:rsidR="00E0690D">
        <w:t xml:space="preserve">nitial </w:t>
      </w:r>
      <w:r w:rsidR="00B15F85">
        <w:t xml:space="preserve">USGS-developed </w:t>
      </w:r>
      <w:r w:rsidR="00E0690D">
        <w:t>wild crop pollination account</w:t>
      </w:r>
      <w:r>
        <w:t>s</w:t>
      </w:r>
      <w:r w:rsidR="00E0690D">
        <w:t xml:space="preserve"> for the Continental US will use CDL and year, state, and crop-specific yield and price data to provide monetary supply and use tables for the years 2008, 2011, 2014, 2017, and 2020. Methods build on those of Lonsdorf et al. (2009) and Koh et al. (2016), but updated in time series, with valuation data included, in a public Python code repository to facilitate reusability, and designed to generate SEEA EA-compliant output tables.</w:t>
      </w:r>
      <w:r w:rsidR="008E4FDE">
        <w:t xml:space="preserve"> </w:t>
      </w:r>
    </w:p>
    <w:p w14:paraId="12395700" w14:textId="46A28196" w:rsidR="004C6DD0" w:rsidRDefault="004C6DD0" w:rsidP="00DE3E0B">
      <w:r>
        <w:t>The Fish and Wildlife Service is leading an interagency collaboration (with the Forest Service, NPS, NRCS, USGS, and EPA) through the Great Lakes Restoration Initiative (GLRI) Pollinator Task Force. EPA support will assess pesticide exposure and effects to pollinators across the landscape. This effort will address data gaps (</w:t>
      </w:r>
      <w:r w:rsidRPr="32E6478D">
        <w:rPr>
          <w:i/>
          <w:iCs/>
        </w:rPr>
        <w:t>e.g</w:t>
      </w:r>
      <w:r>
        <w:t>., distribution, diversity, habitat needs) regarding native bee populations through the development of standardized bee survey methodology. The Pollinator Task Force is consolidating data from multiple sources and is working with researchers in multiple sectors to standardize data collection (</w:t>
      </w:r>
      <w:r w:rsidRPr="32E6478D">
        <w:rPr>
          <w:i/>
          <w:iCs/>
        </w:rPr>
        <w:t>i.e</w:t>
      </w:r>
      <w:r>
        <w:t>., survey) methods.  Its 2023 goals include: (1) continuing/expanding native bee survey site selection and surveys, (2) determining key threats to native bees in priority focus areas, (3) implementing habitat restoration, enhancement, and protection in focus areas, (4) conducting contaminant-related studies, (5) conducting monitoring/adaptive management, and (6) outreach and education.</w:t>
      </w:r>
    </w:p>
    <w:p w14:paraId="2687FCBB" w14:textId="6AB626A6" w:rsidR="008E4FDE" w:rsidRDefault="008E4FDE" w:rsidP="00DE3E0B">
      <w:bookmarkStart w:id="1" w:name="_Hlk126068229"/>
      <w:r>
        <w:t>Ongoing USDA work is expanding the PLANTS Database to include known plant-pollinator interactions</w:t>
      </w:r>
      <w:r w:rsidR="7E0B644B">
        <w:t xml:space="preserve"> and the nutritional composition of pollen and nectar for </w:t>
      </w:r>
      <w:r w:rsidR="0048611B">
        <w:t>specific</w:t>
      </w:r>
      <w:r w:rsidR="7E0B644B">
        <w:t xml:space="preserve"> plant species.  </w:t>
      </w:r>
      <w:r w:rsidR="0048611B">
        <w:t>In the l</w:t>
      </w:r>
      <w:r w:rsidR="7E0B644B">
        <w:t>ong</w:t>
      </w:r>
      <w:r w:rsidR="0048611B">
        <w:t xml:space="preserve"> </w:t>
      </w:r>
      <w:r w:rsidR="7E0B644B">
        <w:t>term</w:t>
      </w:r>
      <w:r w:rsidR="0048611B">
        <w:t>,</w:t>
      </w:r>
      <w:r w:rsidR="7E0B644B">
        <w:t xml:space="preserve"> this will act as</w:t>
      </w:r>
      <w:r w:rsidR="0048611B">
        <w:t xml:space="preserve"> </w:t>
      </w:r>
      <w:r>
        <w:t xml:space="preserve">a repository for understanding habitat preferences </w:t>
      </w:r>
      <w:r w:rsidR="49A46198">
        <w:t xml:space="preserve">and values </w:t>
      </w:r>
      <w:r>
        <w:t xml:space="preserve">for different </w:t>
      </w:r>
      <w:r w:rsidR="6C3DA249">
        <w:t xml:space="preserve">types of </w:t>
      </w:r>
      <w:r>
        <w:t xml:space="preserve">pollinators. </w:t>
      </w:r>
    </w:p>
    <w:p w14:paraId="57911378" w14:textId="2B625288" w:rsidR="1AF93B90" w:rsidRDefault="1AF93B90" w:rsidP="32E6478D">
      <w:pPr>
        <w:rPr>
          <w:rFonts w:ascii="Calibri" w:eastAsia="Calibri" w:hAnsi="Calibri" w:cs="Calibri"/>
          <w:color w:val="000000" w:themeColor="text1"/>
        </w:rPr>
      </w:pPr>
      <w:r w:rsidRPr="00AF7A9C">
        <w:rPr>
          <w:rFonts w:ascii="Calibri" w:eastAsia="Calibri" w:hAnsi="Calibri" w:cs="Calibri"/>
          <w:color w:val="000000" w:themeColor="text1"/>
        </w:rPr>
        <w:t>USDA-</w:t>
      </w:r>
      <w:r w:rsidR="0066201F">
        <w:t>Agricultural Research Service (</w:t>
      </w:r>
      <w:r w:rsidRPr="00AF7A9C">
        <w:rPr>
          <w:rFonts w:ascii="Calibri" w:eastAsia="Calibri" w:hAnsi="Calibri" w:cs="Calibri"/>
          <w:color w:val="000000" w:themeColor="text1"/>
        </w:rPr>
        <w:t>ARS</w:t>
      </w:r>
      <w:r w:rsidR="0066201F">
        <w:rPr>
          <w:rFonts w:ascii="Calibri" w:eastAsia="Calibri" w:hAnsi="Calibri" w:cs="Calibri"/>
          <w:color w:val="000000" w:themeColor="text1"/>
        </w:rPr>
        <w:t>)</w:t>
      </w:r>
      <w:r w:rsidRPr="00AF7A9C">
        <w:rPr>
          <w:rFonts w:ascii="Calibri" w:eastAsia="Calibri" w:hAnsi="Calibri" w:cs="Calibri"/>
          <w:color w:val="000000" w:themeColor="text1"/>
        </w:rPr>
        <w:t xml:space="preserve"> conducts a wide portfolio of research on diverse facets of honey bee and wild pollinator nutrition, health, and stressors in the present day and under climate change. Coordination with USDA’s Pollinator Coordinator will be instrumental in ensuring that new </w:t>
      </w:r>
      <w:r w:rsidRPr="00AF7A9C">
        <w:rPr>
          <w:rFonts w:ascii="Calibri" w:eastAsia="Calibri" w:hAnsi="Calibri" w:cs="Calibri"/>
          <w:color w:val="000000" w:themeColor="text1"/>
        </w:rPr>
        <w:lastRenderedPageBreak/>
        <w:t xml:space="preserve">research most relevant to producing production-grade pollination accounts is included in pollination models. USDA </w:t>
      </w:r>
      <w:r w:rsidR="34A61530" w:rsidRPr="32E6478D">
        <w:rPr>
          <w:rFonts w:ascii="Calibri" w:eastAsia="Calibri" w:hAnsi="Calibri" w:cs="Calibri"/>
          <w:color w:val="000000" w:themeColor="text1"/>
        </w:rPr>
        <w:t>research</w:t>
      </w:r>
      <w:r w:rsidRPr="00AF7A9C">
        <w:rPr>
          <w:rFonts w:ascii="Calibri" w:eastAsia="Calibri" w:hAnsi="Calibri" w:cs="Calibri"/>
          <w:color w:val="000000" w:themeColor="text1"/>
        </w:rPr>
        <w:t xml:space="preserve"> particularly relevant for pollination accounts includes work to improve our understanding of (1) how floral resources available to pollinators vary across the landscape and how they are changing due to climate change, (2) how pollinator populations are changing over time, (3) how wild forage supplements the health of honey bees and other managed pollinators (i.e., what role natural habitats play in supporting managed pollination)</w:t>
      </w:r>
      <w:r w:rsidR="72DC31B7" w:rsidRPr="32E6478D">
        <w:rPr>
          <w:rFonts w:ascii="Calibri" w:eastAsia="Calibri" w:hAnsi="Calibri" w:cs="Calibri"/>
          <w:color w:val="000000" w:themeColor="text1"/>
        </w:rPr>
        <w:t>, and (4) development of aerial/satellite data for pollinator habitat cover</w:t>
      </w:r>
      <w:r w:rsidRPr="00AF7A9C">
        <w:rPr>
          <w:rFonts w:ascii="Calibri" w:eastAsia="Calibri" w:hAnsi="Calibri" w:cs="Calibri"/>
          <w:color w:val="000000" w:themeColor="text1"/>
        </w:rPr>
        <w:t>. Complementary research is also being undertaken by the</w:t>
      </w:r>
      <w:r w:rsidR="4A9115FC" w:rsidRPr="32E6478D">
        <w:rPr>
          <w:rFonts w:ascii="Calibri" w:eastAsia="Calibri" w:hAnsi="Calibri" w:cs="Calibri"/>
          <w:color w:val="000000" w:themeColor="text1"/>
        </w:rPr>
        <w:t xml:space="preserve"> USDA</w:t>
      </w:r>
      <w:r w:rsidRPr="00AF7A9C">
        <w:rPr>
          <w:rFonts w:ascii="Calibri" w:eastAsia="Calibri" w:hAnsi="Calibri" w:cs="Calibri"/>
          <w:color w:val="000000" w:themeColor="text1"/>
        </w:rPr>
        <w:t xml:space="preserve"> Forest Service.</w:t>
      </w:r>
    </w:p>
    <w:p w14:paraId="1B3AAF5F" w14:textId="48218057" w:rsidR="4374FECE" w:rsidRDefault="522EA450" w:rsidP="4374FECE">
      <w:r w:rsidRPr="32E6478D">
        <w:rPr>
          <w:rFonts w:ascii="Calibri" w:eastAsia="Calibri" w:hAnsi="Calibri" w:cs="Calibri"/>
        </w:rPr>
        <w:t>USDA-</w:t>
      </w:r>
      <w:r w:rsidR="134B85D5" w:rsidRPr="32E6478D">
        <w:rPr>
          <w:rFonts w:ascii="Calibri" w:eastAsia="Calibri" w:hAnsi="Calibri" w:cs="Calibri"/>
        </w:rPr>
        <w:t>Economic Research Service (ERS) is currently involved in several areas of pollinator-related research. Specifically, ERS provides data on honey supply and utilization via the sugar and sweeteners yearbook tables and data product. An accompanying data visualization is routinely updated and provides figures and text related to the honey market. Each June, the Sugar and Sweeteners Outlook report features a honey market summary and analysis featuring trade data and updated NASS statistics. ERS is also engaged in collaborative research on the valuation of managed pollinators in the production of pollinator-dependent crops at the farm level, as well as, non-market benefits of pollination to the agro-ecosystem. Further, ERS participates in the documentation and assessment of the input costs of commercially managed pollinator colonies, the benefits of conservation practices in supporting the needs of native and managed pollinators, and the effectiveness of incentives that allow for expansion of native and managed pollinator forage acreage.</w:t>
      </w:r>
      <w:r w:rsidR="134B85D5">
        <w:t xml:space="preserve"> </w:t>
      </w:r>
    </w:p>
    <w:p w14:paraId="2BF0A1FA" w14:textId="7FDA0A71" w:rsidR="00462D84" w:rsidRDefault="00BF670A">
      <w:bookmarkStart w:id="2" w:name="_Hlk118530243"/>
      <w:r>
        <w:t xml:space="preserve">To </w:t>
      </w:r>
      <w:r w:rsidR="0076791F">
        <w:t>better</w:t>
      </w:r>
      <w:r w:rsidR="002F3754">
        <w:t xml:space="preserve"> understand the potential effects of pesticides on bees, EPA </w:t>
      </w:r>
      <w:r w:rsidR="0076791F">
        <w:t>continues</w:t>
      </w:r>
      <w:r w:rsidR="002F3754">
        <w:t xml:space="preserve"> to collaborate with the USDA </w:t>
      </w:r>
      <w:r w:rsidR="005D3365">
        <w:t>ARS</w:t>
      </w:r>
      <w:r w:rsidR="002F3754">
        <w:t xml:space="preserve"> to enhance the VarroaPOP</w:t>
      </w:r>
      <w:r w:rsidR="005D3365">
        <w:t xml:space="preserve"> model</w:t>
      </w:r>
      <w:r w:rsidR="00E76F3D">
        <w:rPr>
          <w:rStyle w:val="FootnoteReference"/>
        </w:rPr>
        <w:footnoteReference w:id="50"/>
      </w:r>
      <w:r w:rsidR="00CA3BAB">
        <w:t>, a mathematical model</w:t>
      </w:r>
      <w:r w:rsidR="00462D84">
        <w:t xml:space="preserve"> that can estimate the interaction of multiple stressors on honey bee colony population growth and survival.</w:t>
      </w:r>
      <w:r w:rsidR="00580BA4">
        <w:t xml:space="preserve">  In 2023, </w:t>
      </w:r>
      <w:r w:rsidR="00F34AF0">
        <w:t>the goal is to continue pesticide module validation efforts to increase the chemical domain of the Varroa</w:t>
      </w:r>
      <w:r w:rsidR="00E76F3D">
        <w:t xml:space="preserve"> </w:t>
      </w:r>
      <w:r w:rsidR="00F34AF0">
        <w:t>POP model.  EPA is also exploring the relevancy/utility of other honey bee colony simulation models (</w:t>
      </w:r>
      <w:r w:rsidR="00F34AF0" w:rsidRPr="32E6478D">
        <w:rPr>
          <w:i/>
          <w:iCs/>
        </w:rPr>
        <w:t>e.g</w:t>
      </w:r>
      <w:r w:rsidR="00F34AF0">
        <w:t>., BeeHAVE)</w:t>
      </w:r>
      <w:r w:rsidR="00E76F3D">
        <w:rPr>
          <w:rStyle w:val="FootnoteReference"/>
        </w:rPr>
        <w:footnoteReference w:id="51"/>
      </w:r>
      <w:r w:rsidR="00F34AF0">
        <w:t xml:space="preserve"> and predictive models for other species (</w:t>
      </w:r>
      <w:r w:rsidR="00F34AF0" w:rsidRPr="32E6478D">
        <w:rPr>
          <w:i/>
          <w:iCs/>
        </w:rPr>
        <w:t>e.g</w:t>
      </w:r>
      <w:r w:rsidR="00F34AF0">
        <w:t>., BumbleBeeHAVE)</w:t>
      </w:r>
      <w:r w:rsidR="00CB15F1">
        <w:t>.</w:t>
      </w:r>
      <w:r w:rsidR="00E76F3D">
        <w:rPr>
          <w:rStyle w:val="FootnoteReference"/>
        </w:rPr>
        <w:footnoteReference w:id="52"/>
      </w:r>
      <w:r w:rsidR="00F34AF0">
        <w:t xml:space="preserve"> </w:t>
      </w:r>
    </w:p>
    <w:p w14:paraId="294C72AA" w14:textId="0F5A9566" w:rsidR="002F3754" w:rsidRDefault="00462D84" w:rsidP="002F3754">
      <w:r>
        <w:t xml:space="preserve">Through the Pollinator State-of-the-Science (SoS) Steering Committee and </w:t>
      </w:r>
      <w:r w:rsidR="00B80CA5">
        <w:t xml:space="preserve">a </w:t>
      </w:r>
      <w:r>
        <w:t>series of annual workshops, EPA and USDA are collaborating to address data gaps in status and trends</w:t>
      </w:r>
      <w:r w:rsidR="00B80CA5">
        <w:t>,</w:t>
      </w:r>
      <w:r>
        <w:t xml:space="preserve"> environmental stressors</w:t>
      </w:r>
      <w:r w:rsidR="00B80CA5">
        <w:t>,</w:t>
      </w:r>
      <w:r>
        <w:t xml:space="preserve"> pests and pathogens</w:t>
      </w:r>
      <w:r w:rsidR="00CB15F1">
        <w:t xml:space="preserve"> </w:t>
      </w:r>
      <w:r w:rsidR="00F34AF0">
        <w:t>and</w:t>
      </w:r>
      <w:r>
        <w:t xml:space="preserve"> biology/genetics. This collaboration has focused on USDA-funded bee-related research on factors known to be influencing declines in the health of honey bees; however, these same factors are influencing declines in other species of bees and insect pollinators.  </w:t>
      </w:r>
    </w:p>
    <w:bookmarkEnd w:id="1"/>
    <w:bookmarkEnd w:id="2"/>
    <w:p w14:paraId="4775D584" w14:textId="30B7E2B7" w:rsidR="00EB5A62" w:rsidRDefault="00796428" w:rsidP="00796428">
      <w:pPr>
        <w:pStyle w:val="Heading2"/>
      </w:pPr>
      <w:r>
        <w:t>FY24 Tasks</w:t>
      </w:r>
    </w:p>
    <w:p w14:paraId="009C0593" w14:textId="2BB3FCF1" w:rsidR="4C27A001" w:rsidRDefault="78746656" w:rsidP="4C27A001">
      <w:bookmarkStart w:id="3" w:name="_Hlk126068345"/>
      <w:r>
        <w:t xml:space="preserve">There is a pressing need to understand the habitat and forage needs of the +4,000 species of native bees in the U.S. </w:t>
      </w:r>
      <w:r w:rsidR="480878C6">
        <w:t>in a way that tractably supports pollination accounts by informing guild-based models.</w:t>
      </w:r>
      <w:r>
        <w:t xml:space="preserve"> </w:t>
      </w:r>
      <w:r w:rsidR="39873F88">
        <w:t xml:space="preserve">Ongoing USGS </w:t>
      </w:r>
      <w:r w:rsidR="3989A2A8">
        <w:t xml:space="preserve">and USFWS </w:t>
      </w:r>
      <w:r w:rsidR="39873F88">
        <w:t xml:space="preserve">work to </w:t>
      </w:r>
      <w:r w:rsidR="592BD84B">
        <w:t>develop species distribution and habitat models</w:t>
      </w:r>
      <w:r w:rsidR="39873F88">
        <w:t xml:space="preserve"> for guilds of bees with known pollination value (e.g., bumble</w:t>
      </w:r>
      <w:r w:rsidR="00A42978">
        <w:t xml:space="preserve"> </w:t>
      </w:r>
      <w:r w:rsidR="39873F88">
        <w:t xml:space="preserve">bees) could feed into more realistic pollination models. </w:t>
      </w:r>
      <w:r w:rsidR="4B927D56">
        <w:t>For example, USGS is quantifying habitat requirements of bumble bees across</w:t>
      </w:r>
      <w:r w:rsidR="77AEF86F">
        <w:t xml:space="preserve"> the Midwest and identifying </w:t>
      </w:r>
      <w:r w:rsidR="77AEF86F">
        <w:lastRenderedPageBreak/>
        <w:t>important forage plants for supporting their diets.</w:t>
      </w:r>
      <w:r w:rsidR="008172CC">
        <w:rPr>
          <w:rStyle w:val="FootnoteReference"/>
        </w:rPr>
        <w:footnoteReference w:id="53"/>
      </w:r>
      <w:r w:rsidR="77AEF86F">
        <w:t xml:space="preserve">  In addit</w:t>
      </w:r>
      <w:r w:rsidR="77F504B3">
        <w:t>io</w:t>
      </w:r>
      <w:r w:rsidR="77AEF86F">
        <w:t>n, USGS is developing sp</w:t>
      </w:r>
      <w:r w:rsidR="1D752A75">
        <w:t>ecies</w:t>
      </w:r>
      <w:r w:rsidR="77AEF86F">
        <w:t xml:space="preserve"> distribution models </w:t>
      </w:r>
      <w:r w:rsidR="69690421">
        <w:t xml:space="preserve">for </w:t>
      </w:r>
      <w:r w:rsidR="10328701">
        <w:t>generalist bumble bees of conservation concern</w:t>
      </w:r>
      <w:r w:rsidR="6E091C3C">
        <w:t>.</w:t>
      </w:r>
      <w:r w:rsidR="00444128">
        <w:rPr>
          <w:rStyle w:val="FootnoteReference"/>
        </w:rPr>
        <w:footnoteReference w:id="54"/>
      </w:r>
      <w:r w:rsidR="6E091C3C">
        <w:t xml:space="preserve">  </w:t>
      </w:r>
      <w:r w:rsidR="4D69C581">
        <w:t>By developing species-</w:t>
      </w:r>
      <w:r w:rsidR="1AAF129B">
        <w:t xml:space="preserve"> or guild-s</w:t>
      </w:r>
      <w:r w:rsidR="4D69C581">
        <w:t xml:space="preserve">pecific habitat models, the applicability and realism of </w:t>
      </w:r>
      <w:r w:rsidR="6C6D2A0F">
        <w:t xml:space="preserve">national pollination </w:t>
      </w:r>
      <w:r w:rsidR="32309B64">
        <w:t xml:space="preserve">accounting </w:t>
      </w:r>
      <w:r w:rsidR="6C6D2A0F">
        <w:t xml:space="preserve">models </w:t>
      </w:r>
      <w:r w:rsidR="73C1231F">
        <w:t>can</w:t>
      </w:r>
      <w:r w:rsidR="6C6D2A0F">
        <w:t xml:space="preserve"> also be improved. </w:t>
      </w:r>
      <w:r w:rsidR="25B15A17">
        <w:t>Further, t</w:t>
      </w:r>
      <w:r w:rsidR="3CDA50C5">
        <w:t>he accuracy of l</w:t>
      </w:r>
      <w:r w:rsidR="2CB849D3">
        <w:t>andscape</w:t>
      </w:r>
      <w:r w:rsidR="169FEEBC">
        <w:t xml:space="preserve"> models of pollinator habitat can be </w:t>
      </w:r>
      <w:r w:rsidR="3B4A001B">
        <w:t>enhanced</w:t>
      </w:r>
      <w:r w:rsidR="169FEEBC">
        <w:t xml:space="preserve"> by quantifying the variation i</w:t>
      </w:r>
      <w:r w:rsidR="0504F8E0">
        <w:t xml:space="preserve">n flower resource </w:t>
      </w:r>
      <w:r w:rsidR="0F3D6190">
        <w:t xml:space="preserve">and nesting </w:t>
      </w:r>
      <w:r w:rsidR="0504F8E0">
        <w:t xml:space="preserve">quality within and across </w:t>
      </w:r>
      <w:r w:rsidR="7A0C1A49">
        <w:t>pollinator</w:t>
      </w:r>
      <w:r w:rsidR="17B139F7">
        <w:t>-friendly land covers</w:t>
      </w:r>
      <w:r w:rsidR="69C56955">
        <w:t>.</w:t>
      </w:r>
      <w:r w:rsidR="00444128">
        <w:rPr>
          <w:rStyle w:val="FootnoteReference"/>
        </w:rPr>
        <w:footnoteReference w:id="55"/>
      </w:r>
      <w:r w:rsidR="69C56955">
        <w:t xml:space="preserve">  </w:t>
      </w:r>
    </w:p>
    <w:p w14:paraId="6F82E1CD" w14:textId="669A8AFA" w:rsidR="008E4FDE" w:rsidRDefault="008E4FDE" w:rsidP="008E4FDE">
      <w:r>
        <w:t xml:space="preserve">Funded USDA collaborations with academic collaborators will better </w:t>
      </w:r>
      <w:r w:rsidR="00E76F3D">
        <w:t xml:space="preserve">improve our </w:t>
      </w:r>
      <w:r>
        <w:t>understand</w:t>
      </w:r>
      <w:r w:rsidR="00E76F3D">
        <w:t>ing</w:t>
      </w:r>
      <w:r>
        <w:t xml:space="preserve"> </w:t>
      </w:r>
      <w:r w:rsidR="00E76F3D">
        <w:t xml:space="preserve">of </w:t>
      </w:r>
      <w:r>
        <w:t>the nutritional (nectar/pollen) value of plants to pollinators.</w:t>
      </w:r>
    </w:p>
    <w:p w14:paraId="7AC55704" w14:textId="4467415D" w:rsidR="008E4FDE" w:rsidRDefault="00444128" w:rsidP="008E4FDE">
      <w:r>
        <w:t xml:space="preserve">One or more postdoctoral-level modeler/programmers </w:t>
      </w:r>
      <w:r w:rsidR="008E4FDE">
        <w:t xml:space="preserve">could continually interact with the Federal pollinator research community to iteratively improve the science underlying pollination accounts, </w:t>
      </w:r>
      <w:r w:rsidR="008E1690">
        <w:t>producing annual pollination account</w:t>
      </w:r>
      <w:r w:rsidR="00153D36">
        <w:t>s</w:t>
      </w:r>
      <w:r w:rsidR="008E1690">
        <w:t xml:space="preserve"> that </w:t>
      </w:r>
      <w:r w:rsidR="008E4FDE">
        <w:t>mov</w:t>
      </w:r>
      <w:r w:rsidR="008E1690">
        <w:t>e</w:t>
      </w:r>
      <w:r w:rsidR="008E4FDE">
        <w:t xml:space="preserve"> progressively from pilot toward production grade.</w:t>
      </w:r>
    </w:p>
    <w:p w14:paraId="0B09C4EB" w14:textId="5AFAEAA8" w:rsidR="00780760" w:rsidRDefault="00780760" w:rsidP="008E4FDE">
      <w:r>
        <w:t xml:space="preserve">Continuation of EPA </w:t>
      </w:r>
      <w:r w:rsidR="00E76F3D">
        <w:t>Office of Research and Development Chemical Safety for Sustainability (</w:t>
      </w:r>
      <w:r>
        <w:t>CSS</w:t>
      </w:r>
      <w:r w:rsidR="00E76F3D">
        <w:t>)</w:t>
      </w:r>
      <w:r>
        <w:t xml:space="preserve"> research</w:t>
      </w:r>
      <w:r w:rsidR="00F34AF0">
        <w:t xml:space="preserve">:  </w:t>
      </w:r>
      <w:r w:rsidR="00F34AF0" w:rsidRPr="00F34AF0">
        <w:t>Colony-level parameterization and modeling of chemical exposures and effects on honey bees</w:t>
      </w:r>
      <w:r w:rsidR="00673EA2">
        <w:t>.</w:t>
      </w:r>
    </w:p>
    <w:bookmarkEnd w:id="3"/>
    <w:p w14:paraId="149B26F3" w14:textId="75EB67FC" w:rsidR="00796428" w:rsidRDefault="00796428" w:rsidP="00796428">
      <w:pPr>
        <w:pStyle w:val="Heading2"/>
      </w:pPr>
      <w:r>
        <w:t>FY25 Tasks</w:t>
      </w:r>
    </w:p>
    <w:p w14:paraId="14A8B73C" w14:textId="49F0CBD3" w:rsidR="008E4FDE" w:rsidRDefault="00444128" w:rsidP="008E4FDE">
      <w:r>
        <w:t xml:space="preserve">One or more postdoctoral-level modeler/programmers </w:t>
      </w:r>
      <w:r w:rsidR="008E4FDE">
        <w:t xml:space="preserve">could continually interact with the Federal pollinator research community to iteratively improve the science underlying pollination accounts, </w:t>
      </w:r>
      <w:r w:rsidR="008E1690">
        <w:t>producing annual pollination account</w:t>
      </w:r>
      <w:r w:rsidR="00153D36">
        <w:t>s</w:t>
      </w:r>
      <w:r w:rsidR="008E1690">
        <w:t xml:space="preserve"> that move progressively from pilot toward production grade</w:t>
      </w:r>
      <w:r w:rsidR="008E4FDE">
        <w:t>.</w:t>
      </w:r>
    </w:p>
    <w:p w14:paraId="6F07992B" w14:textId="5FAC686D" w:rsidR="00796428" w:rsidRDefault="00796428" w:rsidP="00796428">
      <w:pPr>
        <w:pStyle w:val="Heading2"/>
      </w:pPr>
      <w:r>
        <w:t>FY2</w:t>
      </w:r>
      <w:r w:rsidR="000C484C">
        <w:t>6</w:t>
      </w:r>
      <w:r>
        <w:t xml:space="preserve"> and Beyond Tasks</w:t>
      </w:r>
    </w:p>
    <w:p w14:paraId="7A10B3C3" w14:textId="5D7B8924" w:rsidR="008E4FDE" w:rsidRDefault="00444128" w:rsidP="00796428">
      <w:r>
        <w:t>One or more</w:t>
      </w:r>
      <w:r w:rsidR="008E4FDE">
        <w:t xml:space="preserve"> postdoctoral-level modeler/programmer</w:t>
      </w:r>
      <w:r>
        <w:t>s</w:t>
      </w:r>
      <w:r w:rsidR="008E4FDE">
        <w:t xml:space="preserve"> could continually interact with the Federal pollinator research community to iteratively improve the science underlying pollination accounts, </w:t>
      </w:r>
      <w:r w:rsidR="008E1690">
        <w:t>producing annual pollination account</w:t>
      </w:r>
      <w:r w:rsidR="00153D36">
        <w:t>s</w:t>
      </w:r>
      <w:r w:rsidR="008E1690">
        <w:t xml:space="preserve"> that move progressively from pilot toward production grade</w:t>
      </w:r>
      <w:r w:rsidR="008E4FDE">
        <w:t>.</w:t>
      </w:r>
    </w:p>
    <w:p w14:paraId="0703DCF0" w14:textId="5995E652" w:rsidR="009A79A9" w:rsidRDefault="009A79A9" w:rsidP="00796428">
      <w:r>
        <w:t xml:space="preserve">Continuation of EPA CSS research:  </w:t>
      </w:r>
      <w:r w:rsidRPr="009A79A9">
        <w:t>Algorithms, parameters, and models to assess the impacts of pesticides on non-</w:t>
      </w:r>
      <w:r w:rsidRPr="00590F61">
        <w:rPr>
          <w:i/>
          <w:iCs/>
        </w:rPr>
        <w:t>Apis</w:t>
      </w:r>
      <w:r w:rsidRPr="009A79A9">
        <w:t xml:space="preserve"> pollinators</w:t>
      </w:r>
      <w:r>
        <w:t xml:space="preserve">; </w:t>
      </w:r>
      <w:r w:rsidR="00E76F3D">
        <w:t>d</w:t>
      </w:r>
      <w:r w:rsidR="00E76F3D" w:rsidRPr="009A79A9">
        <w:t xml:space="preserve">emonstrated </w:t>
      </w:r>
      <w:r w:rsidRPr="009A79A9">
        <w:t>application of integrated new approach methods (NAMs) to inform cross species chemical sensitivity</w:t>
      </w:r>
      <w:r w:rsidR="00F34AF0">
        <w:t xml:space="preserve">; </w:t>
      </w:r>
      <w:r w:rsidR="00E76F3D">
        <w:t>f</w:t>
      </w:r>
      <w:r w:rsidR="00E76F3D" w:rsidRPr="00F34AF0">
        <w:t xml:space="preserve">ield </w:t>
      </w:r>
      <w:r w:rsidR="00F34AF0" w:rsidRPr="00F34AF0">
        <w:t xml:space="preserve">and laboratory data to inform pollinator exposure </w:t>
      </w:r>
      <w:r w:rsidR="00E76F3D" w:rsidRPr="00F34AF0">
        <w:t xml:space="preserve">and effects </w:t>
      </w:r>
      <w:r w:rsidR="00F34AF0" w:rsidRPr="00F34AF0">
        <w:t xml:space="preserve">assessments </w:t>
      </w:r>
      <w:r w:rsidR="00E76F3D">
        <w:t xml:space="preserve">and risk </w:t>
      </w:r>
      <w:r w:rsidR="00F34AF0" w:rsidRPr="00F34AF0">
        <w:t>estimates</w:t>
      </w:r>
      <w:r w:rsidR="003E2F85">
        <w:t>.</w:t>
      </w:r>
    </w:p>
    <w:p w14:paraId="582A4908" w14:textId="77777777" w:rsidR="00780760" w:rsidRPr="009C1B21" w:rsidRDefault="00780760" w:rsidP="00796428"/>
    <w:sectPr w:rsidR="00780760" w:rsidRPr="009C1B21">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911EE" w14:textId="77777777" w:rsidR="000501C6" w:rsidRDefault="000501C6" w:rsidP="00691568">
      <w:pPr>
        <w:spacing w:after="0" w:line="240" w:lineRule="auto"/>
      </w:pPr>
      <w:r>
        <w:separator/>
      </w:r>
    </w:p>
  </w:endnote>
  <w:endnote w:type="continuationSeparator" w:id="0">
    <w:p w14:paraId="7E2C804B" w14:textId="77777777" w:rsidR="000501C6" w:rsidRDefault="000501C6" w:rsidP="00691568">
      <w:pPr>
        <w:spacing w:after="0" w:line="240" w:lineRule="auto"/>
      </w:pPr>
      <w:r>
        <w:continuationSeparator/>
      </w:r>
    </w:p>
  </w:endnote>
  <w:endnote w:type="continuationNotice" w:id="1">
    <w:p w14:paraId="74629970" w14:textId="77777777" w:rsidR="000501C6" w:rsidRDefault="000501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0949" w14:textId="77777777" w:rsidR="000501C6" w:rsidRDefault="000501C6" w:rsidP="00691568">
      <w:pPr>
        <w:spacing w:after="0" w:line="240" w:lineRule="auto"/>
      </w:pPr>
      <w:r>
        <w:separator/>
      </w:r>
    </w:p>
  </w:footnote>
  <w:footnote w:type="continuationSeparator" w:id="0">
    <w:p w14:paraId="64BBC19A" w14:textId="77777777" w:rsidR="000501C6" w:rsidRDefault="000501C6" w:rsidP="00691568">
      <w:pPr>
        <w:spacing w:after="0" w:line="240" w:lineRule="auto"/>
      </w:pPr>
      <w:r>
        <w:continuationSeparator/>
      </w:r>
    </w:p>
  </w:footnote>
  <w:footnote w:type="continuationNotice" w:id="1">
    <w:p w14:paraId="0532DA4F" w14:textId="77777777" w:rsidR="000501C6" w:rsidRDefault="000501C6">
      <w:pPr>
        <w:spacing w:after="0" w:line="240" w:lineRule="auto"/>
      </w:pPr>
    </w:p>
  </w:footnote>
  <w:footnote w:id="2">
    <w:p w14:paraId="347A0E84" w14:textId="376C407B" w:rsidR="00C46E9A" w:rsidRDefault="00C46E9A" w:rsidP="00C46E9A">
      <w:pPr>
        <w:pStyle w:val="FootnoteText"/>
      </w:pPr>
      <w:r>
        <w:rPr>
          <w:rStyle w:val="FootnoteReference"/>
        </w:rPr>
        <w:footnoteRef/>
      </w:r>
      <w:r>
        <w:t xml:space="preserve"> </w:t>
      </w:r>
      <w:r w:rsidRPr="00BB7856">
        <w:t xml:space="preserve">Klein, A.-M., </w:t>
      </w:r>
      <w:r w:rsidR="00B14307">
        <w:t xml:space="preserve">et al. </w:t>
      </w:r>
      <w:r w:rsidRPr="00BB7856">
        <w:t>(200</w:t>
      </w:r>
      <w:r>
        <w:t>7</w:t>
      </w:r>
      <w:r w:rsidRPr="00BB7856">
        <w:t xml:space="preserve">). Importance of pollinators in changing landscapes for world crops. </w:t>
      </w:r>
      <w:r w:rsidRPr="3DC7ED1F">
        <w:rPr>
          <w:i/>
          <w:iCs/>
        </w:rPr>
        <w:t>Proceedings of the Royal Society B: Biological Sciences, 1608</w:t>
      </w:r>
      <w:r w:rsidRPr="00BB7856">
        <w:t xml:space="preserve">, 303–313. </w:t>
      </w:r>
      <w:hyperlink r:id="rId1" w:history="1">
        <w:r w:rsidRPr="005B5019">
          <w:rPr>
            <w:rStyle w:val="Hyperlink"/>
          </w:rPr>
          <w:t>https://doi.org/10.1098/rspb.2006.3721</w:t>
        </w:r>
      </w:hyperlink>
      <w:r>
        <w:t xml:space="preserve"> </w:t>
      </w:r>
    </w:p>
  </w:footnote>
  <w:footnote w:id="3">
    <w:p w14:paraId="498B9B3F" w14:textId="4419FEA7" w:rsidR="00C46E9A" w:rsidRDefault="00C46E9A" w:rsidP="00C46E9A">
      <w:pPr>
        <w:pStyle w:val="FootnoteText"/>
      </w:pPr>
      <w:r>
        <w:rPr>
          <w:rStyle w:val="FootnoteReference"/>
        </w:rPr>
        <w:footnoteRef/>
      </w:r>
      <w:r>
        <w:t xml:space="preserve"> </w:t>
      </w:r>
      <w:r w:rsidRPr="00BB7856">
        <w:t xml:space="preserve">Sinnathamby S., </w:t>
      </w:r>
      <w:r w:rsidR="00B14307">
        <w:t>et al</w:t>
      </w:r>
      <w:r>
        <w:t>.</w:t>
      </w:r>
      <w:r w:rsidRPr="00BB7856">
        <w:t xml:space="preserve"> </w:t>
      </w:r>
      <w:r>
        <w:t>(</w:t>
      </w:r>
      <w:r w:rsidRPr="00BB7856">
        <w:t>2013</w:t>
      </w:r>
      <w:r>
        <w:t>).</w:t>
      </w:r>
      <w:r w:rsidRPr="00BB7856">
        <w:t xml:space="preserve"> Pollinator decline: US agro-socio-economic impacts and responses. </w:t>
      </w:r>
      <w:r w:rsidRPr="3DC7ED1F">
        <w:rPr>
          <w:i/>
          <w:iCs/>
        </w:rPr>
        <w:t xml:space="preserve">Journal of Natural &amp; Environmental Sciences, 1, </w:t>
      </w:r>
      <w:r w:rsidRPr="00BB7856">
        <w:t>1–13.</w:t>
      </w:r>
    </w:p>
  </w:footnote>
  <w:footnote w:id="4">
    <w:p w14:paraId="0BCF89B2" w14:textId="77777777" w:rsidR="00C46E9A" w:rsidRDefault="00C46E9A" w:rsidP="00C46E9A">
      <w:pPr>
        <w:pStyle w:val="FootnoteText"/>
      </w:pPr>
      <w:r>
        <w:rPr>
          <w:rStyle w:val="FootnoteReference"/>
        </w:rPr>
        <w:footnoteRef/>
      </w:r>
      <w:r>
        <w:t xml:space="preserve"> </w:t>
      </w:r>
      <w:r w:rsidRPr="00053BB0">
        <w:t xml:space="preserve">Calderone, N. W. (2012). Insect Pollinated Crops, Insect Pollinators and US Agriculture: Trend Analysis of Aggregate Data for the Period 1992–2009. </w:t>
      </w:r>
      <w:r w:rsidRPr="3DC7ED1F">
        <w:rPr>
          <w:i/>
        </w:rPr>
        <w:t>PLoS ONE, 5</w:t>
      </w:r>
      <w:r w:rsidRPr="00053BB0">
        <w:t xml:space="preserve">, e37235. </w:t>
      </w:r>
      <w:hyperlink r:id="rId2" w:history="1">
        <w:r w:rsidRPr="005B5019">
          <w:rPr>
            <w:rStyle w:val="Hyperlink"/>
          </w:rPr>
          <w:t>https://doi.org/10.1371/journal.pone.0037235</w:t>
        </w:r>
      </w:hyperlink>
      <w:r>
        <w:t xml:space="preserve"> </w:t>
      </w:r>
    </w:p>
  </w:footnote>
  <w:footnote w:id="5">
    <w:p w14:paraId="33E221EB" w14:textId="485B21D4" w:rsidR="00C46E9A" w:rsidRDefault="00C46E9A" w:rsidP="00C46E9A">
      <w:pPr>
        <w:pStyle w:val="FootnoteText"/>
      </w:pPr>
      <w:r>
        <w:rPr>
          <w:rStyle w:val="FootnoteReference"/>
        </w:rPr>
        <w:footnoteRef/>
      </w:r>
      <w:r>
        <w:t xml:space="preserve"> </w:t>
      </w:r>
      <w:r w:rsidRPr="00053BB0">
        <w:t xml:space="preserve">Ellis, A. M., </w:t>
      </w:r>
      <w:r w:rsidR="00B14307">
        <w:t>et al</w:t>
      </w:r>
      <w:r w:rsidRPr="00053BB0">
        <w:t xml:space="preserve">. (2015). Do Pollinators Contribute to Nutritional Health? </w:t>
      </w:r>
      <w:r w:rsidRPr="3DC7ED1F">
        <w:rPr>
          <w:i/>
          <w:iCs/>
        </w:rPr>
        <w:t>PLoS ONE, 1</w:t>
      </w:r>
      <w:r w:rsidRPr="00053BB0">
        <w:t xml:space="preserve">, e114805. </w:t>
      </w:r>
      <w:hyperlink r:id="rId3" w:history="1">
        <w:r w:rsidRPr="005B5019">
          <w:rPr>
            <w:rStyle w:val="Hyperlink"/>
          </w:rPr>
          <w:t>https://doi.org/10.1371/journal.pone.0114805</w:t>
        </w:r>
      </w:hyperlink>
      <w:r>
        <w:t xml:space="preserve"> </w:t>
      </w:r>
    </w:p>
  </w:footnote>
  <w:footnote w:id="6">
    <w:p w14:paraId="053C0D51" w14:textId="77777777" w:rsidR="00C46E9A" w:rsidRDefault="00C46E9A" w:rsidP="00C46E9A">
      <w:pPr>
        <w:pStyle w:val="FootnoteText"/>
      </w:pPr>
      <w:r>
        <w:rPr>
          <w:rStyle w:val="FootnoteReference"/>
        </w:rPr>
        <w:footnoteRef/>
      </w:r>
      <w:r>
        <w:t xml:space="preserve"> However, the majority of the world’s calories come from crops that are wind- or self-pollinated.</w:t>
      </w:r>
    </w:p>
  </w:footnote>
  <w:footnote w:id="7">
    <w:p w14:paraId="4C455E7E" w14:textId="053DFD5D" w:rsidR="0024429D" w:rsidRPr="0024429D" w:rsidRDefault="0024429D" w:rsidP="0024429D">
      <w:pPr>
        <w:spacing w:after="0" w:line="240" w:lineRule="auto"/>
        <w:ind w:left="360" w:hanging="360"/>
        <w:rPr>
          <w:rFonts w:eastAsiaTheme="minorEastAsia"/>
          <w:sz w:val="20"/>
          <w:szCs w:val="20"/>
        </w:rPr>
      </w:pPr>
      <w:r>
        <w:rPr>
          <w:rStyle w:val="FootnoteReference"/>
        </w:rPr>
        <w:footnoteRef/>
      </w:r>
      <w:r>
        <w:t xml:space="preserve"> </w:t>
      </w:r>
      <w:r w:rsidRPr="0024429D">
        <w:rPr>
          <w:rFonts w:eastAsiaTheme="minorEastAsia"/>
          <w:sz w:val="20"/>
          <w:szCs w:val="20"/>
        </w:rPr>
        <w:t>National Academy of Sciences. 2007. Status of pollinators in North America. National Academies Press: Washington, DC.</w:t>
      </w:r>
    </w:p>
  </w:footnote>
  <w:footnote w:id="8">
    <w:p w14:paraId="2914C8FB" w14:textId="48BC231F" w:rsidR="0024429D" w:rsidRPr="0024429D" w:rsidRDefault="0024429D" w:rsidP="0024429D">
      <w:pPr>
        <w:spacing w:after="0" w:line="240" w:lineRule="auto"/>
        <w:ind w:left="360" w:hanging="360"/>
        <w:rPr>
          <w:rFonts w:cstheme="minorHAnsi"/>
          <w:sz w:val="20"/>
          <w:szCs w:val="20"/>
        </w:rPr>
      </w:pPr>
      <w:r w:rsidRPr="0024429D">
        <w:rPr>
          <w:rStyle w:val="FootnoteReference"/>
          <w:sz w:val="20"/>
          <w:szCs w:val="20"/>
        </w:rPr>
        <w:footnoteRef/>
      </w:r>
      <w:r w:rsidRPr="0024429D">
        <w:rPr>
          <w:sz w:val="20"/>
          <w:szCs w:val="20"/>
        </w:rPr>
        <w:t xml:space="preserve"> </w:t>
      </w:r>
      <w:r w:rsidRPr="0024429D">
        <w:rPr>
          <w:rFonts w:eastAsia="Times New Roman" w:cstheme="minorHAnsi"/>
          <w:sz w:val="20"/>
          <w:szCs w:val="20"/>
        </w:rPr>
        <w:t xml:space="preserve">Cameron, S.A., et al. 2011. Patterns of widespread decline in North American bumble bees. </w:t>
      </w:r>
      <w:r w:rsidRPr="0024429D">
        <w:rPr>
          <w:rFonts w:eastAsia="Times New Roman" w:cstheme="minorHAnsi"/>
          <w:iCs/>
          <w:sz w:val="20"/>
          <w:szCs w:val="20"/>
        </w:rPr>
        <w:t>Proceedings of the National Academy of Sciences</w:t>
      </w:r>
      <w:r w:rsidRPr="0024429D">
        <w:rPr>
          <w:rFonts w:eastAsia="Times New Roman" w:cstheme="minorHAnsi"/>
          <w:sz w:val="20"/>
          <w:szCs w:val="20"/>
        </w:rPr>
        <w:t xml:space="preserve"> 108(2):662-667.</w:t>
      </w:r>
    </w:p>
  </w:footnote>
  <w:footnote w:id="9">
    <w:p w14:paraId="2C86A3AE" w14:textId="45A04B2C" w:rsidR="0024429D" w:rsidRPr="0024429D" w:rsidRDefault="0024429D" w:rsidP="0024429D">
      <w:pPr>
        <w:spacing w:after="0" w:line="240" w:lineRule="auto"/>
        <w:ind w:left="360" w:hanging="360"/>
        <w:rPr>
          <w:rFonts w:eastAsiaTheme="minorEastAsia"/>
          <w:sz w:val="20"/>
          <w:szCs w:val="20"/>
        </w:rPr>
      </w:pPr>
      <w:r w:rsidRPr="0024429D">
        <w:rPr>
          <w:rStyle w:val="FootnoteReference"/>
          <w:sz w:val="20"/>
          <w:szCs w:val="20"/>
        </w:rPr>
        <w:footnoteRef/>
      </w:r>
      <w:r w:rsidRPr="0024429D">
        <w:rPr>
          <w:rFonts w:eastAsiaTheme="minorEastAsia"/>
          <w:sz w:val="20"/>
          <w:szCs w:val="20"/>
        </w:rPr>
        <w:t>Otto, C.R.V., et al. 2016. Land-use change reduces habitat suitability for supporting managed honey bee colonies in the Northern Great Plains. Proceedings of the National Academy of Sciences 113(37):10430-10435.</w:t>
      </w:r>
    </w:p>
  </w:footnote>
  <w:footnote w:id="10">
    <w:p w14:paraId="2A01FC08" w14:textId="5BAA561B" w:rsidR="0024429D" w:rsidRPr="00FC54B4" w:rsidRDefault="0024429D" w:rsidP="00FC54B4">
      <w:pPr>
        <w:spacing w:after="0" w:line="240" w:lineRule="auto"/>
        <w:ind w:left="360" w:hanging="360"/>
        <w:rPr>
          <w:rFonts w:cstheme="minorHAnsi"/>
          <w:sz w:val="20"/>
          <w:szCs w:val="20"/>
        </w:rPr>
      </w:pPr>
      <w:r w:rsidRPr="0024429D">
        <w:rPr>
          <w:rStyle w:val="FootnoteReference"/>
          <w:sz w:val="20"/>
          <w:szCs w:val="20"/>
        </w:rPr>
        <w:footnoteRef/>
      </w:r>
      <w:r w:rsidRPr="0024429D">
        <w:rPr>
          <w:rFonts w:cstheme="minorHAnsi"/>
          <w:bCs/>
          <w:sz w:val="20"/>
          <w:szCs w:val="20"/>
        </w:rPr>
        <w:t xml:space="preserve">Kulhanek, K., et al. 2017. A national survey of managed honey bee 2015–2016 annual colony losses in the USA. Journal of Apicultural Research. 56:4, 328-340. </w:t>
      </w:r>
    </w:p>
  </w:footnote>
  <w:footnote w:id="11">
    <w:p w14:paraId="24747618" w14:textId="0287DFC5" w:rsidR="00B70739" w:rsidRDefault="00B70739">
      <w:pPr>
        <w:pStyle w:val="FootnoteText"/>
      </w:pPr>
      <w:r>
        <w:rPr>
          <w:rStyle w:val="FootnoteReference"/>
        </w:rPr>
        <w:footnoteRef/>
      </w:r>
      <w:r>
        <w:t xml:space="preserve"> </w:t>
      </w:r>
      <w:r w:rsidR="00590F61">
        <w:t xml:space="preserve">For a full description of the system of natural capital accounts and environmental-economic statistics, see: </w:t>
      </w:r>
      <w:hyperlink r:id="rId4" w:history="1">
        <w:r w:rsidR="00590F61" w:rsidRPr="00590F61">
          <w:rPr>
            <w:rStyle w:val="Hyperlink"/>
          </w:rPr>
          <w:t>https://www.whitehouse.gov/wp-content/uploads/2022/08/Natural-Capital-Accounting-Strategy.pdf</w:t>
        </w:r>
      </w:hyperlink>
      <w:r w:rsidR="00590F61">
        <w:t>. Pollination accounts include multiple tables including both physical measures of pollination demand (pollination-dependent species) and supply (pollinator habitat) and monetary values of these, plus the value of wild forage provided to managed pollinators (Fig. 1).</w:t>
      </w:r>
      <w:r>
        <w:t xml:space="preserve"> </w:t>
      </w:r>
    </w:p>
  </w:footnote>
  <w:footnote w:id="12">
    <w:p w14:paraId="4E43D175" w14:textId="2620B9B6" w:rsidR="00A132AE" w:rsidRPr="00A132AE" w:rsidRDefault="00A132AE">
      <w:pPr>
        <w:pStyle w:val="FootnoteText"/>
      </w:pPr>
      <w:r>
        <w:rPr>
          <w:rStyle w:val="FootnoteReference"/>
        </w:rPr>
        <w:footnoteRef/>
      </w:r>
      <w:r>
        <w:t xml:space="preserve"> </w:t>
      </w:r>
      <w:r w:rsidRPr="00A132AE">
        <w:t>For example, basswood, catalpa, cherry, locust, and tulip tree are pollination-dependent</w:t>
      </w:r>
      <w:r>
        <w:t xml:space="preserve"> trees that can provide timber.</w:t>
      </w:r>
    </w:p>
  </w:footnote>
  <w:footnote w:id="13">
    <w:p w14:paraId="7290A004" w14:textId="12227D92" w:rsidR="00FC54B4" w:rsidRDefault="00FC54B4">
      <w:pPr>
        <w:pStyle w:val="FootnoteText"/>
      </w:pPr>
      <w:r>
        <w:rPr>
          <w:rStyle w:val="FootnoteReference"/>
        </w:rPr>
        <w:footnoteRef/>
      </w:r>
      <w:r w:rsidR="454E3BDF">
        <w:t xml:space="preserve"> See Box 1 for key USDA definitions. Note also that wild pollinators may still be considered ”managed” from a SNA perspective if habitat is managed to attract pollinators to crop fields, which should be addressed when considering SNA boundaries.</w:t>
      </w:r>
    </w:p>
  </w:footnote>
  <w:footnote w:id="14">
    <w:p w14:paraId="2AEF75F7" w14:textId="27728F66" w:rsidR="002F6DB7" w:rsidRDefault="002F6DB7">
      <w:pPr>
        <w:pStyle w:val="FootnoteText"/>
      </w:pPr>
      <w:r>
        <w:rPr>
          <w:rStyle w:val="FootnoteReference"/>
        </w:rPr>
        <w:footnoteRef/>
      </w:r>
      <w:r>
        <w:t xml:space="preserve"> </w:t>
      </w:r>
      <w:hyperlink r:id="rId5" w:history="1">
        <w:r w:rsidRPr="00436CF4">
          <w:rPr>
            <w:rStyle w:val="Hyperlink"/>
          </w:rPr>
          <w:t>https://www.doi.gov/priorities/america-the-beautiful</w:t>
        </w:r>
      </w:hyperlink>
      <w:r>
        <w:t xml:space="preserve"> </w:t>
      </w:r>
    </w:p>
  </w:footnote>
  <w:footnote w:id="15">
    <w:p w14:paraId="4752D833" w14:textId="11600949" w:rsidR="009D56FE" w:rsidRDefault="009D56FE">
      <w:pPr>
        <w:pStyle w:val="FootnoteText"/>
      </w:pPr>
      <w:r>
        <w:rPr>
          <w:rStyle w:val="FootnoteReference"/>
        </w:rPr>
        <w:footnoteRef/>
      </w:r>
      <w:hyperlink r:id="rId6" w:history="1">
        <w:r w:rsidRPr="009D002D">
          <w:rPr>
            <w:rStyle w:val="Hyperlink"/>
          </w:rPr>
          <w:t>https://obamawhitehouse.archives.gov/sites/default/files/microsites/ostp/Pollinator%20Health%20Strategy%202015.pdf</w:t>
        </w:r>
      </w:hyperlink>
      <w:r>
        <w:t xml:space="preserve"> </w:t>
      </w:r>
    </w:p>
  </w:footnote>
  <w:footnote w:id="16">
    <w:p w14:paraId="74E79724" w14:textId="473D7CCB" w:rsidR="00E50F3A" w:rsidRPr="00E50F3A" w:rsidRDefault="00E50F3A" w:rsidP="00E50F3A">
      <w:pPr>
        <w:spacing w:after="0" w:line="240" w:lineRule="auto"/>
        <w:ind w:left="360" w:hanging="360"/>
        <w:rPr>
          <w:rFonts w:eastAsiaTheme="minorEastAsia"/>
        </w:rPr>
      </w:pPr>
      <w:r>
        <w:rPr>
          <w:rStyle w:val="FootnoteReference"/>
        </w:rPr>
        <w:footnoteRef/>
      </w:r>
      <w:r>
        <w:t xml:space="preserve"> </w:t>
      </w:r>
      <w:r w:rsidRPr="00E50F3A">
        <w:rPr>
          <w:rFonts w:ascii="Calibri" w:hAnsi="Calibri" w:cs="Calibri"/>
          <w:sz w:val="20"/>
          <w:szCs w:val="20"/>
        </w:rPr>
        <w:t xml:space="preserve">Lonsdorf, E., et al. 2020. Partitioning private and external benefits of crop pollination services. People </w:t>
      </w:r>
      <w:r w:rsidRPr="00E50F3A">
        <w:rPr>
          <w:rFonts w:eastAsiaTheme="minorEastAsia"/>
          <w:sz w:val="20"/>
          <w:szCs w:val="20"/>
        </w:rPr>
        <w:t>and Nature 2:811-820.</w:t>
      </w:r>
    </w:p>
  </w:footnote>
  <w:footnote w:id="17">
    <w:p w14:paraId="23D3FF04" w14:textId="71A5198F" w:rsidR="00A70144" w:rsidRDefault="00A70144">
      <w:pPr>
        <w:pStyle w:val="FootnoteText"/>
      </w:pPr>
      <w:r>
        <w:rPr>
          <w:rStyle w:val="FootnoteReference"/>
        </w:rPr>
        <w:footnoteRef/>
      </w:r>
      <w:r>
        <w:t xml:space="preserve"> Warnell, K., et al. 2020. Testing ecosystem accounting in the United States: A case study for the Southeast. Ecosystem Services 43:101099.</w:t>
      </w:r>
    </w:p>
  </w:footnote>
  <w:footnote w:id="18">
    <w:p w14:paraId="491A0C8F" w14:textId="5B485A93" w:rsidR="000110A9" w:rsidRDefault="000110A9">
      <w:pPr>
        <w:pStyle w:val="FootnoteText"/>
      </w:pPr>
      <w:r>
        <w:rPr>
          <w:rStyle w:val="FootnoteReference"/>
        </w:rPr>
        <w:footnoteRef/>
      </w:r>
      <w:r w:rsidR="4870C8DC">
        <w:t xml:space="preserve"> An estimated 87% of flowering plants depend on animal pollination; Ollerton, J., et al. 2011. How many flowering plants are pollinated by animals? Oikos 120(3):321-326.</w:t>
      </w:r>
    </w:p>
  </w:footnote>
  <w:footnote w:id="19">
    <w:p w14:paraId="731C1394" w14:textId="421CC815" w:rsidR="008B6E90" w:rsidRPr="00E50F3A" w:rsidRDefault="008B6E90" w:rsidP="008B6E90">
      <w:pPr>
        <w:pStyle w:val="References"/>
        <w:spacing w:before="0" w:after="0" w:line="240" w:lineRule="auto"/>
        <w:ind w:left="360" w:hanging="360"/>
        <w:rPr>
          <w:rFonts w:eastAsiaTheme="minorEastAsia"/>
          <w:sz w:val="20"/>
          <w:szCs w:val="20"/>
        </w:rPr>
      </w:pPr>
      <w:r>
        <w:rPr>
          <w:rStyle w:val="FootnoteReference"/>
        </w:rPr>
        <w:footnoteRef/>
      </w:r>
      <w:r>
        <w:t xml:space="preserve"> </w:t>
      </w:r>
      <w:r w:rsidRPr="00E50F3A">
        <w:rPr>
          <w:rFonts w:eastAsiaTheme="minorEastAsia"/>
          <w:sz w:val="20"/>
          <w:szCs w:val="20"/>
        </w:rPr>
        <w:t>Winfree R, et al. 2007. Native bees provide insurance against ongoing honey bee losses. Ecology Letters 10(11):1105–1113.</w:t>
      </w:r>
    </w:p>
  </w:footnote>
  <w:footnote w:id="20">
    <w:p w14:paraId="0E631ED7" w14:textId="3EF7C3BC" w:rsidR="008B6E90" w:rsidRPr="00E50F3A" w:rsidRDefault="008B6E90" w:rsidP="008B6E90">
      <w:pPr>
        <w:pStyle w:val="References"/>
        <w:spacing w:before="0" w:after="0" w:line="240" w:lineRule="auto"/>
        <w:ind w:left="360" w:hanging="360"/>
        <w:rPr>
          <w:rFonts w:eastAsiaTheme="minorEastAsia"/>
          <w:sz w:val="20"/>
          <w:szCs w:val="20"/>
        </w:rPr>
      </w:pPr>
      <w:r w:rsidRPr="00E50F3A">
        <w:rPr>
          <w:rStyle w:val="FootnoteReference"/>
          <w:sz w:val="20"/>
          <w:szCs w:val="20"/>
        </w:rPr>
        <w:footnoteRef/>
      </w:r>
      <w:r w:rsidRPr="00E50F3A">
        <w:rPr>
          <w:sz w:val="20"/>
          <w:szCs w:val="20"/>
        </w:rPr>
        <w:t xml:space="preserve"> </w:t>
      </w:r>
      <w:r w:rsidRPr="00E50F3A">
        <w:rPr>
          <w:rFonts w:eastAsiaTheme="minorEastAsia"/>
          <w:sz w:val="20"/>
          <w:szCs w:val="20"/>
        </w:rPr>
        <w:t>Winfree, R., et al. 2018. Species turnover promotes the importance of bee diversity for crop pollination at regional scales. Science 359(6377):791-793.</w:t>
      </w:r>
    </w:p>
  </w:footnote>
  <w:footnote w:id="21">
    <w:p w14:paraId="7C116A68" w14:textId="1CABE9A0" w:rsidR="00E50F3A" w:rsidRPr="00E50F3A" w:rsidRDefault="00E50F3A" w:rsidP="00E50F3A">
      <w:pPr>
        <w:spacing w:after="0" w:line="240" w:lineRule="auto"/>
        <w:ind w:left="360" w:hanging="360"/>
        <w:rPr>
          <w:rFonts w:eastAsiaTheme="minorEastAsia"/>
          <w:sz w:val="20"/>
          <w:szCs w:val="20"/>
        </w:rPr>
      </w:pPr>
      <w:r w:rsidRPr="00E50F3A">
        <w:rPr>
          <w:rStyle w:val="FootnoteReference"/>
          <w:sz w:val="20"/>
          <w:szCs w:val="20"/>
        </w:rPr>
        <w:footnoteRef/>
      </w:r>
      <w:r w:rsidRPr="00E50F3A">
        <w:rPr>
          <w:sz w:val="20"/>
          <w:szCs w:val="20"/>
        </w:rPr>
        <w:t xml:space="preserve"> </w:t>
      </w:r>
      <w:r w:rsidRPr="00E50F3A">
        <w:rPr>
          <w:rFonts w:eastAsiaTheme="minorEastAsia"/>
          <w:sz w:val="20"/>
          <w:szCs w:val="20"/>
        </w:rPr>
        <w:t>Brittain C., et al. 2013. Biodiversity buffers pollination from changes in environmental conditions. Global Change Biology 19(2):540–547.</w:t>
      </w:r>
    </w:p>
  </w:footnote>
  <w:footnote w:id="22">
    <w:p w14:paraId="31EBB3AA" w14:textId="4F2179B7" w:rsidR="00E50F3A" w:rsidRPr="00E50F3A" w:rsidRDefault="00E50F3A" w:rsidP="00E50F3A">
      <w:pPr>
        <w:spacing w:after="0" w:line="240" w:lineRule="auto"/>
        <w:ind w:left="360" w:hanging="360"/>
        <w:rPr>
          <w:rFonts w:eastAsiaTheme="minorEastAsia"/>
        </w:rPr>
      </w:pPr>
      <w:r w:rsidRPr="00E50F3A">
        <w:rPr>
          <w:rStyle w:val="FootnoteReference"/>
          <w:sz w:val="20"/>
          <w:szCs w:val="20"/>
        </w:rPr>
        <w:footnoteRef/>
      </w:r>
      <w:r w:rsidRPr="00E50F3A">
        <w:rPr>
          <w:sz w:val="20"/>
          <w:szCs w:val="20"/>
        </w:rPr>
        <w:t xml:space="preserve"> </w:t>
      </w:r>
      <w:r w:rsidRPr="00E50F3A">
        <w:rPr>
          <w:rFonts w:eastAsiaTheme="minorEastAsia"/>
          <w:sz w:val="20"/>
          <w:szCs w:val="20"/>
        </w:rPr>
        <w:t>Nicholson, C., et al. 2017. Farm and landscape factors interact to affect the supply of pollination services. Agriculture, Ecosystems &amp; Environment 250:113-122.</w:t>
      </w:r>
    </w:p>
  </w:footnote>
  <w:footnote w:id="23">
    <w:p w14:paraId="53B5DCB6" w14:textId="1A06B9C3" w:rsidR="00E133E0" w:rsidRDefault="00E133E0">
      <w:pPr>
        <w:pStyle w:val="FootnoteText"/>
      </w:pPr>
      <w:r>
        <w:rPr>
          <w:rStyle w:val="FootnoteReference"/>
        </w:rPr>
        <w:footnoteRef/>
      </w:r>
      <w:r>
        <w:t xml:space="preserve"> USDA. 2017. Attractiveness of Agricultural Crops to Pollinating Bees for the Collection of Nectar and/or Pollen USDA: Washington, DC.</w:t>
      </w:r>
    </w:p>
  </w:footnote>
  <w:footnote w:id="24">
    <w:p w14:paraId="6E904AD7" w14:textId="63AF2597" w:rsidR="008B6E90" w:rsidRDefault="008B6E90">
      <w:pPr>
        <w:pStyle w:val="FootnoteText"/>
      </w:pPr>
      <w:r>
        <w:rPr>
          <w:rStyle w:val="FootnoteReference"/>
        </w:rPr>
        <w:footnoteRef/>
      </w:r>
      <w:r>
        <w:t xml:space="preserve"> </w:t>
      </w:r>
      <w:r w:rsidRPr="005D5433">
        <w:t xml:space="preserve">Koh, I., </w:t>
      </w:r>
      <w:r w:rsidR="00B14307">
        <w:t>et al</w:t>
      </w:r>
      <w:r w:rsidRPr="005D5433">
        <w:t xml:space="preserve">. (2015). Modeling the status, trends, and impacts of wild bee abundance in the United States. </w:t>
      </w:r>
      <w:r w:rsidRPr="00EF59E6">
        <w:rPr>
          <w:i/>
          <w:iCs/>
        </w:rPr>
        <w:t>Proceedings of the National Academy of Sciences</w:t>
      </w:r>
      <w:r w:rsidRPr="005D5433">
        <w:t>, 1, 140–145. https://doi.org/10.1073/pnas.1517685113</w:t>
      </w:r>
    </w:p>
  </w:footnote>
  <w:footnote w:id="25">
    <w:p w14:paraId="5583E688" w14:textId="3C3DF99A" w:rsidR="008B6E90" w:rsidRPr="008B6E90" w:rsidRDefault="008B6E90" w:rsidP="008B6E90">
      <w:pPr>
        <w:spacing w:after="0" w:line="240" w:lineRule="auto"/>
        <w:ind w:left="360" w:hanging="360"/>
        <w:rPr>
          <w:rFonts w:ascii="Calibri" w:hAnsi="Calibri" w:cs="Calibri"/>
        </w:rPr>
      </w:pPr>
      <w:r>
        <w:rPr>
          <w:rStyle w:val="FootnoteReference"/>
        </w:rPr>
        <w:footnoteRef/>
      </w:r>
      <w:r>
        <w:t xml:space="preserve"> </w:t>
      </w:r>
      <w:r w:rsidRPr="00E50F3A">
        <w:rPr>
          <w:rFonts w:ascii="Calibri" w:hAnsi="Calibri" w:cs="Calibri"/>
          <w:sz w:val="20"/>
          <w:szCs w:val="20"/>
        </w:rPr>
        <w:t>Jordan, A., et al. 2021. Economic dependence and vulnerability of United States agricultural sector on insect-mediated pollination service. Environmental Science and Technology 55:2243-2253.</w:t>
      </w:r>
    </w:p>
  </w:footnote>
  <w:footnote w:id="26">
    <w:p w14:paraId="3BC9765E" w14:textId="3456E6D1" w:rsidR="002B4F12" w:rsidRDefault="002B4F12" w:rsidP="002B4F12">
      <w:pPr>
        <w:pStyle w:val="FootnoteText"/>
      </w:pPr>
      <w:r>
        <w:rPr>
          <w:rStyle w:val="FootnoteReference"/>
        </w:rPr>
        <w:footnoteRef/>
      </w:r>
      <w:r>
        <w:t xml:space="preserve"> </w:t>
      </w:r>
      <w:r w:rsidRPr="00D9527B">
        <w:t xml:space="preserve">Lonsdorf, E., </w:t>
      </w:r>
      <w:r w:rsidR="00B14307">
        <w:t>et al</w:t>
      </w:r>
      <w:r w:rsidRPr="00D9527B">
        <w:t xml:space="preserve">. (2009). Modelling pollination services across agricultural landscapes. </w:t>
      </w:r>
      <w:r w:rsidRPr="3DC7ED1F">
        <w:rPr>
          <w:i/>
          <w:iCs/>
        </w:rPr>
        <w:t>Annals of Botany, 9</w:t>
      </w:r>
      <w:r w:rsidRPr="00D9527B">
        <w:t>, 1589–1600. https://doi.org/10.1093/aob/mcp069</w:t>
      </w:r>
    </w:p>
  </w:footnote>
  <w:footnote w:id="27">
    <w:p w14:paraId="2B67D7D1" w14:textId="48318944" w:rsidR="002B4F12" w:rsidRDefault="002B4F12">
      <w:pPr>
        <w:pStyle w:val="FootnoteText"/>
      </w:pPr>
      <w:r>
        <w:rPr>
          <w:rStyle w:val="FootnoteReference"/>
        </w:rPr>
        <w:footnoteRef/>
      </w:r>
      <w:r>
        <w:t xml:space="preserve"> Because individual pollinators and floral visits are too small to track beyond the scale of limited field experiments, models of pollination are typically used which rely on information from field studies to most accurately reflect pollinator activity.</w:t>
      </w:r>
    </w:p>
  </w:footnote>
  <w:footnote w:id="28">
    <w:p w14:paraId="3ACED362" w14:textId="77777777" w:rsidR="002B4F12" w:rsidRDefault="002B4F12" w:rsidP="002B4F12">
      <w:pPr>
        <w:pStyle w:val="FootnoteText"/>
      </w:pPr>
      <w:r>
        <w:rPr>
          <w:rStyle w:val="FootnoteReference"/>
        </w:rPr>
        <w:footnoteRef/>
      </w:r>
      <w:r>
        <w:t xml:space="preserve"> </w:t>
      </w:r>
      <w:hyperlink r:id="rId7" w:history="1">
        <w:r w:rsidRPr="005C67FA">
          <w:rPr>
            <w:rStyle w:val="Hyperlink"/>
          </w:rPr>
          <w:t>https://www.nass.usda.gov/Research_and_Science/Cropland/SARS1a.php</w:t>
        </w:r>
      </w:hyperlink>
      <w:r>
        <w:t xml:space="preserve"> </w:t>
      </w:r>
    </w:p>
  </w:footnote>
  <w:footnote w:id="29">
    <w:p w14:paraId="2B902B46" w14:textId="3B355CBA" w:rsidR="002B4F12" w:rsidRDefault="002B4F12" w:rsidP="002B4F12">
      <w:pPr>
        <w:pStyle w:val="FootnoteText"/>
      </w:pPr>
      <w:r>
        <w:rPr>
          <w:rStyle w:val="FootnoteReference"/>
        </w:rPr>
        <w:footnoteRef/>
      </w:r>
      <w:r>
        <w:t xml:space="preserve"> </w:t>
      </w:r>
      <w:r w:rsidRPr="005D5433">
        <w:t xml:space="preserve">Koh, I., </w:t>
      </w:r>
      <w:r w:rsidR="00B14307">
        <w:t>et al</w:t>
      </w:r>
      <w:r w:rsidRPr="005D5433">
        <w:t xml:space="preserve">. (2015). Modeling the status, trends, and impacts of wild bee abundance in the United States. </w:t>
      </w:r>
      <w:r w:rsidRPr="00EF59E6">
        <w:rPr>
          <w:i/>
          <w:iCs/>
        </w:rPr>
        <w:t>Proceedings of the National Academy of Sciences</w:t>
      </w:r>
      <w:r w:rsidRPr="005D5433">
        <w:t>, 1, 140–145. https://doi.org/10.1073/pnas.1517685113</w:t>
      </w:r>
    </w:p>
  </w:footnote>
  <w:footnote w:id="30">
    <w:p w14:paraId="222FCE76" w14:textId="2FA255A9" w:rsidR="002B4F12" w:rsidRPr="002B4F12" w:rsidRDefault="002B4F12" w:rsidP="002B4F12">
      <w:pPr>
        <w:spacing w:after="0" w:line="240" w:lineRule="auto"/>
        <w:ind w:left="360" w:hanging="360"/>
        <w:rPr>
          <w:rFonts w:eastAsiaTheme="minorEastAsia"/>
        </w:rPr>
      </w:pPr>
      <w:r>
        <w:rPr>
          <w:rStyle w:val="FootnoteReference"/>
        </w:rPr>
        <w:footnoteRef/>
      </w:r>
      <w:r>
        <w:t xml:space="preserve"> </w:t>
      </w:r>
      <w:r w:rsidRPr="002B4F12">
        <w:rPr>
          <w:rFonts w:eastAsiaTheme="minorEastAsia"/>
          <w:sz w:val="20"/>
          <w:szCs w:val="20"/>
        </w:rPr>
        <w:t xml:space="preserve">Vallecillo, S., et al. 2018. Ecosystem services accounting: Part I – Outdoor recreation and crop pollination. Joint Research Centre: Ispra, Italy. </w:t>
      </w:r>
      <w:hyperlink r:id="rId8">
        <w:r w:rsidRPr="002B4F12">
          <w:rPr>
            <w:rStyle w:val="Hyperlink"/>
            <w:rFonts w:eastAsiaTheme="minorEastAsia"/>
            <w:color w:val="auto"/>
            <w:sz w:val="20"/>
            <w:szCs w:val="20"/>
          </w:rPr>
          <w:t>https://publications.jrc.ec.europa.eu/repository/handle/JRC110321</w:t>
        </w:r>
      </w:hyperlink>
      <w:r w:rsidRPr="002B4F12">
        <w:rPr>
          <w:rFonts w:eastAsiaTheme="minorEastAsia"/>
          <w:sz w:val="20"/>
          <w:szCs w:val="20"/>
        </w:rPr>
        <w:t>.</w:t>
      </w:r>
      <w:r w:rsidRPr="0CE9341A">
        <w:rPr>
          <w:rFonts w:eastAsiaTheme="minorEastAsia"/>
        </w:rPr>
        <w:t xml:space="preserve"> </w:t>
      </w:r>
    </w:p>
  </w:footnote>
  <w:footnote w:id="31">
    <w:p w14:paraId="77AEB3CF" w14:textId="77777777" w:rsidR="002B4F12" w:rsidRDefault="002B4F12" w:rsidP="002B4F12">
      <w:pPr>
        <w:pStyle w:val="FootnoteText"/>
      </w:pPr>
      <w:r>
        <w:rPr>
          <w:rStyle w:val="FootnoteReference"/>
        </w:rPr>
        <w:footnoteRef/>
      </w:r>
      <w:r>
        <w:t xml:space="preserve"> </w:t>
      </w:r>
      <w:hyperlink r:id="rId9" w:history="1">
        <w:r w:rsidRPr="00F02631">
          <w:rPr>
            <w:rStyle w:val="Hyperlink"/>
          </w:rPr>
          <w:t>https://www.nass.usda.gov/Research_and_Science/Cropland/SARS1a.php</w:t>
        </w:r>
      </w:hyperlink>
    </w:p>
  </w:footnote>
  <w:footnote w:id="32">
    <w:p w14:paraId="5C2BEB45" w14:textId="5CF95154" w:rsidR="0063127B" w:rsidRDefault="0063127B" w:rsidP="0063127B">
      <w:pPr>
        <w:pStyle w:val="CommentText"/>
        <w:spacing w:after="0"/>
      </w:pPr>
      <w:r>
        <w:rPr>
          <w:rStyle w:val="FootnoteReference"/>
        </w:rPr>
        <w:footnoteRef/>
      </w:r>
      <w:r>
        <w:t xml:space="preserve"> Updating older works such as McGregor, S.E. 1976. Insect pollination of cultivated crop plants. Agriculture Handbook 496. USDA: Washington, DC.</w:t>
      </w:r>
    </w:p>
  </w:footnote>
  <w:footnote w:id="33">
    <w:p w14:paraId="141926E4" w14:textId="5DF121C7" w:rsidR="006842D6" w:rsidRDefault="006842D6" w:rsidP="0063127B">
      <w:pPr>
        <w:pStyle w:val="FootnoteText"/>
      </w:pPr>
      <w:r>
        <w:rPr>
          <w:rStyle w:val="FootnoteReference"/>
        </w:rPr>
        <w:footnoteRef/>
      </w:r>
      <w:r>
        <w:t xml:space="preserve"> Allen-Perkins, A., et al. 2022. CropPol: A dynamic, open and global database on crop pollination. Ecology 103(3):e3614.</w:t>
      </w:r>
    </w:p>
  </w:footnote>
  <w:footnote w:id="34">
    <w:p w14:paraId="44C08790" w14:textId="439C923D" w:rsidR="006842D6" w:rsidRDefault="006842D6" w:rsidP="0063127B">
      <w:pPr>
        <w:pStyle w:val="FootnoteText"/>
      </w:pPr>
      <w:r>
        <w:rPr>
          <w:rStyle w:val="FootnoteReference"/>
        </w:rPr>
        <w:footnoteRef/>
      </w:r>
      <w:r>
        <w:t xml:space="preserve"> Since there are roughly 4,000 bee species in the United States, an appropriate balance will be targeted between simplification and model realism.</w:t>
      </w:r>
    </w:p>
  </w:footnote>
  <w:footnote w:id="35">
    <w:p w14:paraId="445A2D3F" w14:textId="7E93E707" w:rsidR="00F77A09" w:rsidRDefault="00F77A09">
      <w:pPr>
        <w:pStyle w:val="FootnoteText"/>
      </w:pPr>
      <w:r>
        <w:rPr>
          <w:rStyle w:val="FootnoteReference"/>
        </w:rPr>
        <w:footnoteRef/>
      </w:r>
      <w:r>
        <w:t xml:space="preserve"> </w:t>
      </w:r>
      <w:r w:rsidRPr="00E50F3A">
        <w:rPr>
          <w:rFonts w:ascii="Calibri" w:hAnsi="Calibri" w:cs="Calibri"/>
        </w:rPr>
        <w:t>Jordan, A., et al. 2021. Economic dependence and vulnerability of United States agricultural sector on insect-mediated pollination service. Environmental Science and Technology 55:2243-2253.</w:t>
      </w:r>
    </w:p>
  </w:footnote>
  <w:footnote w:id="36">
    <w:p w14:paraId="746E4800" w14:textId="2CE16AB1" w:rsidR="00F77A09" w:rsidRDefault="00F77A09">
      <w:pPr>
        <w:pStyle w:val="FootnoteText"/>
      </w:pPr>
      <w:r>
        <w:rPr>
          <w:rStyle w:val="FootnoteReference"/>
        </w:rPr>
        <w:footnoteRef/>
      </w:r>
      <w:r>
        <w:t xml:space="preserve"> </w:t>
      </w:r>
      <w:r w:rsidRPr="005D5433">
        <w:t xml:space="preserve">Koh, I., </w:t>
      </w:r>
      <w:r>
        <w:t>et al</w:t>
      </w:r>
      <w:r w:rsidRPr="005D5433">
        <w:t xml:space="preserve">. (2015). Modeling the status, trends, and impacts of wild bee abundance in the United States. </w:t>
      </w:r>
      <w:r w:rsidRPr="00EF59E6">
        <w:rPr>
          <w:i/>
          <w:iCs/>
        </w:rPr>
        <w:t>Proceedings of the National Academy of Sciences</w:t>
      </w:r>
      <w:r w:rsidRPr="005D5433">
        <w:t>, 1, 140–145. https://doi.org/10.1073/pnas.1517685113</w:t>
      </w:r>
    </w:p>
  </w:footnote>
  <w:footnote w:id="37">
    <w:p w14:paraId="4BCDF332" w14:textId="41A0CEF8" w:rsidR="00F77A09" w:rsidRDefault="00F77A09">
      <w:pPr>
        <w:pStyle w:val="FootnoteText"/>
      </w:pPr>
      <w:r>
        <w:rPr>
          <w:rStyle w:val="FootnoteReference"/>
        </w:rPr>
        <w:footnoteRef/>
      </w:r>
      <w:r>
        <w:t xml:space="preserve"> </w:t>
      </w:r>
      <w:r w:rsidRPr="00D9527B">
        <w:t xml:space="preserve">Lonsdorf, E., </w:t>
      </w:r>
      <w:r>
        <w:t>et al</w:t>
      </w:r>
      <w:r w:rsidRPr="00D9527B">
        <w:t xml:space="preserve">. (2009). Modelling pollination services across agricultural landscapes. </w:t>
      </w:r>
      <w:r w:rsidRPr="3DC7ED1F">
        <w:rPr>
          <w:i/>
          <w:iCs/>
        </w:rPr>
        <w:t>Annals of Botany, 9</w:t>
      </w:r>
      <w:r w:rsidRPr="00D9527B">
        <w:t>, 1589–1600. https://doi.org/10.1093/aob/mcp069</w:t>
      </w:r>
    </w:p>
  </w:footnote>
  <w:footnote w:id="38">
    <w:p w14:paraId="7F3BF820" w14:textId="59FF65B3" w:rsidR="00EC0BB0" w:rsidRDefault="00EC0BB0">
      <w:pPr>
        <w:pStyle w:val="FootnoteText"/>
      </w:pPr>
      <w:r>
        <w:rPr>
          <w:rStyle w:val="FootnoteReference"/>
        </w:rPr>
        <w:footnoteRef/>
      </w:r>
      <w:r>
        <w:t xml:space="preserve"> Otto, C.R.V., et al. 2022. Grassland conservation supports migratory birds and produces economic benefits for the commercial beekeeping industry in the U.S. Great Plains. Ecological Economics 197:107450.</w:t>
      </w:r>
    </w:p>
  </w:footnote>
  <w:footnote w:id="39">
    <w:p w14:paraId="101FF2A6" w14:textId="4E06A1ED" w:rsidR="00D72E1F" w:rsidRDefault="00D72E1F">
      <w:pPr>
        <w:pStyle w:val="FootnoteText"/>
      </w:pPr>
      <w:r>
        <w:rPr>
          <w:rStyle w:val="FootnoteReference"/>
        </w:rPr>
        <w:footnoteRef/>
      </w:r>
      <w:r>
        <w:t xml:space="preserve"> </w:t>
      </w:r>
      <w:r w:rsidRPr="00967FB4">
        <w:rPr>
          <w:rFonts w:ascii="Calibri" w:hAnsi="Calibri" w:cs="Calibri"/>
        </w:rPr>
        <w:t xml:space="preserve">Douglas, M.R., et al. 2021. Putting pesticides on the map for pollinator research and conservation. bioRxiv preprint, </w:t>
      </w:r>
      <w:hyperlink r:id="rId10" w:history="1">
        <w:r w:rsidRPr="00967FB4">
          <w:rPr>
            <w:rStyle w:val="Hyperlink"/>
            <w:rFonts w:ascii="Calibri" w:hAnsi="Calibri" w:cs="Calibri"/>
            <w:color w:val="auto"/>
            <w:shd w:val="clear" w:color="auto" w:fill="FFFFFF"/>
          </w:rPr>
          <w:t>https://doi.org/10.1101/2021.10.18.464808</w:t>
        </w:r>
      </w:hyperlink>
      <w:r w:rsidRPr="00967FB4">
        <w:rPr>
          <w:rFonts w:ascii="Calibri" w:hAnsi="Calibri" w:cs="Calibri"/>
          <w:shd w:val="clear" w:color="auto" w:fill="FFFFFF"/>
        </w:rPr>
        <w:t>.</w:t>
      </w:r>
    </w:p>
  </w:footnote>
  <w:footnote w:id="40">
    <w:p w14:paraId="3112FBB2" w14:textId="26952238" w:rsidR="00D72E1F" w:rsidRPr="00D72E1F" w:rsidRDefault="00D72E1F" w:rsidP="00D72E1F">
      <w:pPr>
        <w:spacing w:after="0" w:line="240" w:lineRule="auto"/>
        <w:ind w:left="360" w:hanging="360"/>
        <w:rPr>
          <w:rFonts w:eastAsiaTheme="minorEastAsia"/>
        </w:rPr>
      </w:pPr>
      <w:r>
        <w:rPr>
          <w:rStyle w:val="FootnoteReference"/>
        </w:rPr>
        <w:footnoteRef/>
      </w:r>
      <w:r>
        <w:t xml:space="preserve"> </w:t>
      </w:r>
      <w:r w:rsidRPr="001179B6">
        <w:rPr>
          <w:rFonts w:eastAsiaTheme="minorEastAsia"/>
          <w:sz w:val="20"/>
          <w:szCs w:val="20"/>
        </w:rPr>
        <w:t>Ryalls, J.M.W. 2022. Anthropogenic air pollutants reduce insect-mediated pollination services. Environmental Pollution 297:118847.</w:t>
      </w:r>
    </w:p>
  </w:footnote>
  <w:footnote w:id="41">
    <w:p w14:paraId="45FBD594" w14:textId="7BFB3C9E" w:rsidR="454E3BDF" w:rsidRDefault="454E3BDF" w:rsidP="454E3BDF">
      <w:pPr>
        <w:pStyle w:val="FootnoteText"/>
      </w:pPr>
      <w:r w:rsidRPr="454E3BDF">
        <w:rPr>
          <w:rStyle w:val="FootnoteReference"/>
        </w:rPr>
        <w:footnoteRef/>
      </w:r>
      <w:r w:rsidRPr="454E3BDF">
        <w:t xml:space="preserve"> Including pesticides used to maintain large colony sizes</w:t>
      </w:r>
    </w:p>
  </w:footnote>
  <w:footnote w:id="42">
    <w:p w14:paraId="19A7CBC1" w14:textId="77777777" w:rsidR="000421EF" w:rsidRDefault="000421EF" w:rsidP="000421EF">
      <w:pPr>
        <w:pStyle w:val="FootnoteText"/>
      </w:pPr>
      <w:r>
        <w:rPr>
          <w:rStyle w:val="FootnoteReference"/>
        </w:rPr>
        <w:footnoteRef/>
      </w:r>
      <w:hyperlink r:id="rId11" w:history="1">
        <w:r w:rsidRPr="00436CF4">
          <w:rPr>
            <w:rStyle w:val="Hyperlink"/>
          </w:rPr>
          <w:t>https://obamawhitehouse.archives.gov/sites/default/files/microsites/ostp/Pollinator%20Health%20Strategy%202015.pdf</w:t>
        </w:r>
      </w:hyperlink>
      <w:r>
        <w:t xml:space="preserve"> </w:t>
      </w:r>
    </w:p>
  </w:footnote>
  <w:footnote w:id="43">
    <w:p w14:paraId="554059DE" w14:textId="77777777" w:rsidR="000421EF" w:rsidRDefault="000421EF" w:rsidP="000421EF">
      <w:pPr>
        <w:pStyle w:val="FootnoteText"/>
      </w:pPr>
      <w:r>
        <w:rPr>
          <w:rStyle w:val="FootnoteReference"/>
        </w:rPr>
        <w:footnoteRef/>
      </w:r>
      <w:r>
        <w:t xml:space="preserve"> </w:t>
      </w:r>
      <w:r w:rsidRPr="00F47615">
        <w:t>https://www.epa.gov/sites/default/files/2014-06/documents/pollinator_risk_assessment_guidance_06_19_14.pdf</w:t>
      </w:r>
    </w:p>
  </w:footnote>
  <w:footnote w:id="44">
    <w:p w14:paraId="20C480AD" w14:textId="77777777" w:rsidR="000421EF" w:rsidRDefault="000421EF" w:rsidP="000421EF">
      <w:pPr>
        <w:pStyle w:val="FootnoteText"/>
      </w:pPr>
      <w:r>
        <w:rPr>
          <w:rStyle w:val="FootnoteReference"/>
        </w:rPr>
        <w:footnoteRef/>
      </w:r>
      <w:r>
        <w:t xml:space="preserve"> </w:t>
      </w:r>
      <w:hyperlink r:id="rId12" w:history="1">
        <w:r w:rsidRPr="00436CF4">
          <w:rPr>
            <w:rStyle w:val="Hyperlink"/>
          </w:rPr>
          <w:t>https://www.usda.gov/sites/default/files/documents/Attractiveness-of-Agriculture-Crops-to-Pollinating-Bees-Report-FINAL-Web-Version-Jan-3-2018.pdf</w:t>
        </w:r>
      </w:hyperlink>
      <w:r>
        <w:t xml:space="preserve"> </w:t>
      </w:r>
    </w:p>
  </w:footnote>
  <w:footnote w:id="45">
    <w:p w14:paraId="24F2EC67" w14:textId="73C6265B" w:rsidR="32E6478D" w:rsidRDefault="32E6478D" w:rsidP="00AF7A9C">
      <w:pPr>
        <w:pStyle w:val="FootnoteText"/>
      </w:pPr>
      <w:r w:rsidRPr="32E6478D">
        <w:rPr>
          <w:rStyle w:val="FootnoteReference"/>
        </w:rPr>
        <w:footnoteRef/>
      </w:r>
      <w:r>
        <w:t xml:space="preserve"> It is possible that other ecosystem services, like the genetic contributions of managed pollinators, might conceivably be measured in the future, and that these would also necessitate splitting out these values from the other labor and capital inputs to apiculture. It is also possible that, if losses of managed pollinator populations could be attributed to other economic sectors, those losses of income to apiculturalists might be consistently tracked within pollination accounts. </w:t>
      </w:r>
    </w:p>
  </w:footnote>
  <w:footnote w:id="46">
    <w:p w14:paraId="3929B84A" w14:textId="178C0FA4" w:rsidR="00D72E1F" w:rsidRPr="008F0EB0" w:rsidRDefault="00D72E1F" w:rsidP="00D72E1F">
      <w:pPr>
        <w:spacing w:after="0" w:line="240" w:lineRule="auto"/>
        <w:ind w:left="360" w:hanging="360"/>
        <w:rPr>
          <w:rFonts w:ascii="Gill Sans MT" w:hAnsi="Gill Sans MT"/>
          <w:sz w:val="20"/>
          <w:szCs w:val="20"/>
          <w:shd w:val="clear" w:color="auto" w:fill="FFFFFF"/>
        </w:rPr>
      </w:pPr>
      <w:r w:rsidRPr="008F0EB0">
        <w:rPr>
          <w:rStyle w:val="FootnoteReference"/>
          <w:sz w:val="20"/>
          <w:szCs w:val="20"/>
        </w:rPr>
        <w:footnoteRef/>
      </w:r>
      <w:r w:rsidRPr="008F0EB0">
        <w:rPr>
          <w:sz w:val="20"/>
          <w:szCs w:val="20"/>
        </w:rPr>
        <w:t xml:space="preserve"> </w:t>
      </w:r>
      <w:hyperlink r:id="rId13">
        <w:r w:rsidRPr="008F0EB0">
          <w:rPr>
            <w:rStyle w:val="Hyperlink"/>
            <w:sz w:val="20"/>
            <w:szCs w:val="20"/>
          </w:rPr>
          <w:t>https://beescape.org/</w:t>
        </w:r>
      </w:hyperlink>
      <w:r w:rsidRPr="008F0EB0">
        <w:rPr>
          <w:rStyle w:val="Hyperlink"/>
          <w:sz w:val="20"/>
          <w:szCs w:val="20"/>
        </w:rPr>
        <w:t xml:space="preserve">, </w:t>
      </w:r>
      <w:r w:rsidRPr="008F0EB0">
        <w:rPr>
          <w:rFonts w:ascii="Calibri" w:hAnsi="Calibri" w:cs="Calibri"/>
          <w:sz w:val="20"/>
          <w:szCs w:val="20"/>
        </w:rPr>
        <w:t xml:space="preserve">Douglas, M.R., et al. 2021. Putting pesticides on the map for pollinator research and conservation. bioRxiv preprint, </w:t>
      </w:r>
      <w:hyperlink r:id="rId14" w:history="1">
        <w:r w:rsidRPr="008F0EB0">
          <w:rPr>
            <w:rStyle w:val="Hyperlink"/>
            <w:rFonts w:ascii="Calibri" w:hAnsi="Calibri" w:cs="Calibri"/>
            <w:color w:val="auto"/>
            <w:sz w:val="20"/>
            <w:szCs w:val="20"/>
            <w:shd w:val="clear" w:color="auto" w:fill="FFFFFF"/>
          </w:rPr>
          <w:t>https://doi.org/10.1101/2021.10.18.464808</w:t>
        </w:r>
      </w:hyperlink>
      <w:r w:rsidR="00BC4C2E">
        <w:rPr>
          <w:rFonts w:ascii="Calibri" w:hAnsi="Calibri" w:cs="Calibri"/>
          <w:sz w:val="20"/>
          <w:szCs w:val="20"/>
          <w:shd w:val="clear" w:color="auto" w:fill="FFFFFF"/>
        </w:rPr>
        <w:t xml:space="preserve">; </w:t>
      </w:r>
      <w:hyperlink r:id="rId15" w:history="1">
        <w:r w:rsidR="00BC4C2E" w:rsidRPr="009D002D">
          <w:rPr>
            <w:rStyle w:val="Hyperlink"/>
            <w:rFonts w:ascii="Calibri" w:hAnsi="Calibri" w:cs="Calibri"/>
            <w:sz w:val="20"/>
            <w:szCs w:val="20"/>
            <w:shd w:val="clear" w:color="auto" w:fill="FFFFFF"/>
          </w:rPr>
          <w:t>https://water.usgs.gov/nawqa/pnsp/usage/maps/about.php</w:t>
        </w:r>
      </w:hyperlink>
      <w:r w:rsidR="006A1764">
        <w:rPr>
          <w:rStyle w:val="Hyperlink"/>
          <w:rFonts w:ascii="Calibri" w:hAnsi="Calibri" w:cs="Calibri"/>
          <w:sz w:val="20"/>
          <w:szCs w:val="20"/>
          <w:shd w:val="clear" w:color="auto" w:fill="FFFFFF"/>
        </w:rPr>
        <w:t xml:space="preserve">, </w:t>
      </w:r>
      <w:hyperlink r:id="rId16" w:history="1">
        <w:r w:rsidR="006A1764" w:rsidRPr="00B476DB">
          <w:rPr>
            <w:rStyle w:val="Hyperlink"/>
            <w:rFonts w:ascii="Calibri" w:hAnsi="Calibri" w:cs="Calibri"/>
            <w:sz w:val="20"/>
            <w:szCs w:val="20"/>
            <w:shd w:val="clear" w:color="auto" w:fill="FFFFFF"/>
          </w:rPr>
          <w:t>https://www.sciencebase.gov/catalog/item/5e95c12282ce172707f2524e</w:t>
        </w:r>
      </w:hyperlink>
      <w:r w:rsidR="006A1764">
        <w:rPr>
          <w:rStyle w:val="Hyperlink"/>
          <w:rFonts w:ascii="Calibri" w:hAnsi="Calibri" w:cs="Calibri"/>
          <w:sz w:val="20"/>
          <w:szCs w:val="20"/>
          <w:shd w:val="clear" w:color="auto" w:fill="FFFFFF"/>
        </w:rPr>
        <w:t xml:space="preserve"> (noting that results from 2015-2017 exclude neonicotinoid seed treatments, so are incomplete)</w:t>
      </w:r>
      <w:r w:rsidR="00BC4C2E">
        <w:rPr>
          <w:rFonts w:ascii="Calibri" w:hAnsi="Calibri" w:cs="Calibri"/>
          <w:sz w:val="20"/>
          <w:szCs w:val="20"/>
          <w:shd w:val="clear" w:color="auto" w:fill="FFFFFF"/>
        </w:rPr>
        <w:t xml:space="preserve"> </w:t>
      </w:r>
    </w:p>
  </w:footnote>
  <w:footnote w:id="47">
    <w:p w14:paraId="5A658BC2" w14:textId="64801B79" w:rsidR="00D72E1F" w:rsidRPr="008F0EB0" w:rsidRDefault="00D72E1F" w:rsidP="00D72E1F">
      <w:pPr>
        <w:spacing w:after="0" w:line="240" w:lineRule="auto"/>
        <w:ind w:left="360" w:hanging="360"/>
        <w:rPr>
          <w:rFonts w:eastAsiaTheme="minorEastAsia"/>
          <w:sz w:val="20"/>
          <w:szCs w:val="20"/>
        </w:rPr>
      </w:pPr>
      <w:r w:rsidRPr="008F0EB0">
        <w:rPr>
          <w:rStyle w:val="FootnoteReference"/>
          <w:sz w:val="20"/>
          <w:szCs w:val="20"/>
        </w:rPr>
        <w:footnoteRef/>
      </w:r>
      <w:r w:rsidRPr="008F0EB0">
        <w:rPr>
          <w:sz w:val="20"/>
          <w:szCs w:val="20"/>
        </w:rPr>
        <w:t xml:space="preserve"> </w:t>
      </w:r>
      <w:r w:rsidRPr="008F0EB0">
        <w:rPr>
          <w:rFonts w:eastAsiaTheme="minorEastAsia"/>
          <w:sz w:val="20"/>
          <w:szCs w:val="20"/>
        </w:rPr>
        <w:t>Ryalls, J.M.W. 2022. Anthropogenic air pollutants reduce insect-mediated pollination services. Environmental Pollution 297:118847.</w:t>
      </w:r>
    </w:p>
  </w:footnote>
  <w:footnote w:id="48">
    <w:p w14:paraId="4412271D" w14:textId="1CC37BB5" w:rsidR="00F603A3" w:rsidRPr="008F0EB0" w:rsidRDefault="00F603A3">
      <w:pPr>
        <w:pStyle w:val="FootnoteText"/>
      </w:pPr>
      <w:r w:rsidRPr="008F0EB0">
        <w:rPr>
          <w:rStyle w:val="FootnoteReference"/>
        </w:rPr>
        <w:footnoteRef/>
      </w:r>
      <w:r w:rsidRPr="008F0EB0">
        <w:t xml:space="preserve"> E.g., </w:t>
      </w:r>
      <w:hyperlink r:id="rId17" w:history="1">
        <w:r w:rsidRPr="008F0EB0">
          <w:rPr>
            <w:rStyle w:val="Hyperlink"/>
          </w:rPr>
          <w:t>https://www.usgs.gov/centers/eesc/science/native-bee-inventory-and-monitoring-lab</w:t>
        </w:r>
      </w:hyperlink>
      <w:r w:rsidRPr="008F0EB0">
        <w:t xml:space="preserve">, </w:t>
      </w:r>
      <w:hyperlink r:id="rId18" w:history="1">
        <w:r w:rsidRPr="008F0EB0">
          <w:rPr>
            <w:rStyle w:val="Hyperlink"/>
          </w:rPr>
          <w:t>https://www.usnativebees.com/organization.html</w:t>
        </w:r>
      </w:hyperlink>
      <w:r w:rsidR="00E76F3D">
        <w:rPr>
          <w:rStyle w:val="Hyperlink"/>
        </w:rPr>
        <w:t xml:space="preserve">, </w:t>
      </w:r>
      <w:hyperlink r:id="rId19" w:history="1">
        <w:r w:rsidR="00E76F3D" w:rsidRPr="007174A6">
          <w:rPr>
            <w:rStyle w:val="Hyperlink"/>
          </w:rPr>
          <w:t>https://thebeetool.com/</w:t>
        </w:r>
      </w:hyperlink>
      <w:r w:rsidR="00E76F3D">
        <w:rPr>
          <w:rStyle w:val="Hyperlink"/>
        </w:rPr>
        <w:t xml:space="preserve"> (which may provide a </w:t>
      </w:r>
      <w:r w:rsidR="00E76F3D">
        <w:t>reasonable source of occurrence data though absence of detections cannot be construed as the absence of bees but may be an artifact of sampling frequency).</w:t>
      </w:r>
    </w:p>
  </w:footnote>
  <w:footnote w:id="49">
    <w:p w14:paraId="6167D1B2" w14:textId="496C703A" w:rsidR="00E76F3D" w:rsidRDefault="00E76F3D">
      <w:pPr>
        <w:pStyle w:val="FootnoteText"/>
      </w:pPr>
      <w:r>
        <w:rPr>
          <w:rStyle w:val="FootnoteReference"/>
        </w:rPr>
        <w:footnoteRef/>
      </w:r>
      <w:r>
        <w:t xml:space="preserve"> </w:t>
      </w:r>
      <w:r w:rsidRPr="005D1F45">
        <w:rPr>
          <w:rFonts w:cstheme="minorHAnsi"/>
          <w:color w:val="000000"/>
          <w:shd w:val="clear" w:color="auto" w:fill="FFFFFF"/>
        </w:rPr>
        <w:t>USDA, NRCS. 2022. The PLANTS Database (</w:t>
      </w:r>
      <w:hyperlink r:id="rId20" w:history="1">
        <w:r w:rsidRPr="005D1F45">
          <w:rPr>
            <w:rStyle w:val="Hyperlink"/>
            <w:rFonts w:cstheme="minorHAnsi"/>
          </w:rPr>
          <w:t>http://plants.usda.gov</w:t>
        </w:r>
      </w:hyperlink>
      <w:r w:rsidRPr="005D1F45">
        <w:rPr>
          <w:rFonts w:cstheme="minorHAnsi"/>
          <w:color w:val="000000"/>
          <w:shd w:val="clear" w:color="auto" w:fill="FFFFFF"/>
        </w:rPr>
        <w:t>, 12/21/2022). National Plant Data Team, Greensboro, NC USA</w:t>
      </w:r>
      <w:r>
        <w:rPr>
          <w:rFonts w:cstheme="minorHAnsi"/>
          <w:color w:val="000000"/>
          <w:shd w:val="clear" w:color="auto" w:fill="FFFFFF"/>
        </w:rPr>
        <w:t>.</w:t>
      </w:r>
    </w:p>
  </w:footnote>
  <w:footnote w:id="50">
    <w:p w14:paraId="25D0ADFE" w14:textId="2E8284C4" w:rsidR="00E76F3D" w:rsidRDefault="00E76F3D">
      <w:pPr>
        <w:pStyle w:val="FootnoteText"/>
      </w:pPr>
      <w:r>
        <w:rPr>
          <w:rStyle w:val="FootnoteReference"/>
        </w:rPr>
        <w:footnoteRef/>
      </w:r>
      <w:r>
        <w:t xml:space="preserve"> </w:t>
      </w:r>
      <w:hyperlink r:id="rId21" w:history="1">
        <w:r w:rsidRPr="007174A6">
          <w:rPr>
            <w:rStyle w:val="Hyperlink"/>
          </w:rPr>
          <w:t>https://data.nal.usda.gov/dataset/varroa-pop</w:t>
        </w:r>
      </w:hyperlink>
    </w:p>
  </w:footnote>
  <w:footnote w:id="51">
    <w:p w14:paraId="06BE39ED" w14:textId="0D793F79" w:rsidR="00E76F3D" w:rsidRDefault="00E76F3D">
      <w:pPr>
        <w:pStyle w:val="FootnoteText"/>
      </w:pPr>
      <w:r>
        <w:rPr>
          <w:rStyle w:val="FootnoteReference"/>
        </w:rPr>
        <w:footnoteRef/>
      </w:r>
      <w:r>
        <w:t xml:space="preserve"> </w:t>
      </w:r>
      <w:hyperlink r:id="rId22" w:history="1">
        <w:r w:rsidRPr="007174A6">
          <w:rPr>
            <w:rStyle w:val="Hyperlink"/>
          </w:rPr>
          <w:t>https://beehave-model.net/</w:t>
        </w:r>
      </w:hyperlink>
    </w:p>
  </w:footnote>
  <w:footnote w:id="52">
    <w:p w14:paraId="237CAB85" w14:textId="7710759A" w:rsidR="00E76F3D" w:rsidRDefault="00E76F3D">
      <w:pPr>
        <w:pStyle w:val="FootnoteText"/>
      </w:pPr>
      <w:r>
        <w:rPr>
          <w:rStyle w:val="FootnoteReference"/>
        </w:rPr>
        <w:footnoteRef/>
      </w:r>
      <w:r>
        <w:t xml:space="preserve"> Becher, M. A, </w:t>
      </w:r>
      <w:r w:rsidRPr="005D1F45">
        <w:rPr>
          <w:i/>
          <w:iCs/>
        </w:rPr>
        <w:t>et al</w:t>
      </w:r>
      <w:r>
        <w:t xml:space="preserve">. 2018. </w:t>
      </w:r>
      <w:r w:rsidRPr="005D1F45">
        <w:rPr>
          <w:i/>
          <w:iCs/>
        </w:rPr>
        <w:t>Bumble</w:t>
      </w:r>
      <w:r>
        <w:t xml:space="preserve">-BEEHAVE: A systems model for exploring multifactorial causes of bumblebee decline at individual, colony, population, and community level. J. of Applied Ecology 55(6): 2790 – 2801. </w:t>
      </w:r>
      <w:hyperlink r:id="rId23" w:history="1">
        <w:r w:rsidRPr="007174A6">
          <w:rPr>
            <w:rStyle w:val="Hyperlink"/>
          </w:rPr>
          <w:t>https://doi.org/10.1111/1365-2664.13165</w:t>
        </w:r>
      </w:hyperlink>
      <w:r>
        <w:t xml:space="preserve">  </w:t>
      </w:r>
    </w:p>
  </w:footnote>
  <w:footnote w:id="53">
    <w:p w14:paraId="08B1B855" w14:textId="0C957A9C" w:rsidR="008172CC" w:rsidRDefault="008172CC" w:rsidP="008172CC">
      <w:pPr>
        <w:pStyle w:val="CommentText"/>
        <w:spacing w:after="0"/>
      </w:pPr>
      <w:r>
        <w:rPr>
          <w:rStyle w:val="FootnoteReference"/>
        </w:rPr>
        <w:footnoteRef/>
      </w:r>
      <w:r>
        <w:t xml:space="preserve">Mola, J.M., et al. (2021). The importance of forests in bumble bee biology and conservation. </w:t>
      </w:r>
      <w:r w:rsidRPr="7CEF33E0">
        <w:rPr>
          <w:i/>
          <w:iCs/>
        </w:rPr>
        <w:t>BioScience</w:t>
      </w:r>
      <w:r>
        <w:t xml:space="preserve">, </w:t>
      </w:r>
      <w:r w:rsidRPr="7CEF33E0">
        <w:rPr>
          <w:i/>
          <w:iCs/>
        </w:rPr>
        <w:t>71</w:t>
      </w:r>
      <w:r>
        <w:t>(12), 1234–1248.</w:t>
      </w:r>
    </w:p>
    <w:p w14:paraId="0D5BFA13" w14:textId="17138665" w:rsidR="008172CC" w:rsidRDefault="008172CC" w:rsidP="008172CC">
      <w:pPr>
        <w:pStyle w:val="CommentText"/>
        <w:spacing w:after="0"/>
      </w:pPr>
      <w:r>
        <w:t xml:space="preserve">Mola, J. M., et al. (2021). Long‐term surveys support declines in early‐season forest plants used by bumble bees. </w:t>
      </w:r>
      <w:r w:rsidRPr="7CEF33E0">
        <w:rPr>
          <w:i/>
          <w:iCs/>
        </w:rPr>
        <w:t>Journal of Applied Ecology</w:t>
      </w:r>
      <w:r>
        <w:rPr>
          <w:i/>
          <w:iCs/>
        </w:rPr>
        <w:t xml:space="preserve"> 58(7),</w:t>
      </w:r>
      <w:r w:rsidRPr="008172CC">
        <w:t>1431-1441</w:t>
      </w:r>
      <w:r>
        <w:rPr>
          <w:i/>
          <w:iCs/>
        </w:rPr>
        <w:t>.</w:t>
      </w:r>
    </w:p>
    <w:p w14:paraId="73230442" w14:textId="1938EBA8" w:rsidR="008172CC" w:rsidRDefault="008172CC" w:rsidP="008172CC">
      <w:pPr>
        <w:pStyle w:val="FootnoteText"/>
      </w:pPr>
      <w:r>
        <w:t>Simanonok, M. P., et al. (2021). A century of pollen foraging by the endangered rusty patched bumble bee (</w:t>
      </w:r>
      <w:r w:rsidRPr="008172CC">
        <w:rPr>
          <w:i/>
          <w:iCs/>
        </w:rPr>
        <w:t>Bombus affinis</w:t>
      </w:r>
      <w:r>
        <w:t xml:space="preserve">): inferences from molecular sequencing of museum specimens. </w:t>
      </w:r>
      <w:r w:rsidRPr="7CEF33E0">
        <w:rPr>
          <w:i/>
          <w:iCs/>
        </w:rPr>
        <w:t>Biodiversity and Conservation</w:t>
      </w:r>
      <w:r>
        <w:t xml:space="preserve">, </w:t>
      </w:r>
      <w:r w:rsidRPr="7CEF33E0">
        <w:rPr>
          <w:i/>
          <w:iCs/>
        </w:rPr>
        <w:t>30</w:t>
      </w:r>
      <w:r>
        <w:t>(1), 123–137.</w:t>
      </w:r>
    </w:p>
  </w:footnote>
  <w:footnote w:id="54">
    <w:p w14:paraId="5C87E162" w14:textId="254CD45F" w:rsidR="00444128" w:rsidRDefault="00444128">
      <w:pPr>
        <w:pStyle w:val="FootnoteText"/>
      </w:pPr>
      <w:r>
        <w:rPr>
          <w:rStyle w:val="FootnoteReference"/>
        </w:rPr>
        <w:footnoteRef/>
      </w:r>
      <w:r>
        <w:t xml:space="preserve">Graves, T.A., et al. (2020). Western bumble bee: declines in the continental United States and range‐wide information gaps. </w:t>
      </w:r>
      <w:r w:rsidRPr="66CD7C89">
        <w:rPr>
          <w:i/>
          <w:iCs/>
        </w:rPr>
        <w:t>Ecosphere</w:t>
      </w:r>
      <w:r>
        <w:t xml:space="preserve">, </w:t>
      </w:r>
      <w:r w:rsidRPr="66CD7C89">
        <w:rPr>
          <w:i/>
          <w:iCs/>
        </w:rPr>
        <w:t>11</w:t>
      </w:r>
      <w:r>
        <w:t xml:space="preserve">(6), e03141. </w:t>
      </w:r>
    </w:p>
  </w:footnote>
  <w:footnote w:id="55">
    <w:p w14:paraId="2D4F4950" w14:textId="5CE137A9" w:rsidR="00444128" w:rsidRDefault="00444128">
      <w:pPr>
        <w:pStyle w:val="FootnoteText"/>
      </w:pPr>
      <w:r>
        <w:rPr>
          <w:rStyle w:val="FootnoteReference"/>
        </w:rPr>
        <w:footnoteRef/>
      </w:r>
      <w:r>
        <w:t xml:space="preserve">Smart, A.H., et al. (2021). Landscape characterization of floral resources for pollinators in the Prairie Pothole Region of the United States. </w:t>
      </w:r>
      <w:r w:rsidRPr="3CD5A65F">
        <w:rPr>
          <w:i/>
          <w:iCs/>
        </w:rPr>
        <w:t>Biodiversity and Conservation</w:t>
      </w:r>
      <w:r>
        <w:t xml:space="preserve">, </w:t>
      </w:r>
      <w:r w:rsidRPr="3CD5A65F">
        <w:rPr>
          <w:i/>
          <w:iCs/>
        </w:rPr>
        <w:t>30</w:t>
      </w:r>
      <w:r>
        <w:t>, 1991–2015.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05B15" w14:textId="77777777" w:rsidR="00691568" w:rsidRPr="00691568" w:rsidRDefault="00691568" w:rsidP="00691568">
    <w:pPr>
      <w:pStyle w:val="Header"/>
      <w:jc w:val="center"/>
      <w:rPr>
        <w:color w:val="FF0000"/>
      </w:rPr>
    </w:pPr>
    <w:r w:rsidRPr="00691568">
      <w:rPr>
        <w:color w:val="FF0000"/>
      </w:rPr>
      <w:t>Deliberative Draft – Internal Use Only</w:t>
    </w:r>
  </w:p>
  <w:p w14:paraId="7C33356D" w14:textId="77777777" w:rsidR="00691568" w:rsidRDefault="00691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00210"/>
    <w:multiLevelType w:val="hybridMultilevel"/>
    <w:tmpl w:val="4DB6B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80696D"/>
    <w:multiLevelType w:val="hybridMultilevel"/>
    <w:tmpl w:val="A384AF48"/>
    <w:lvl w:ilvl="0" w:tplc="05CEF3D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A96CA2"/>
    <w:multiLevelType w:val="hybridMultilevel"/>
    <w:tmpl w:val="CA5C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960DDC"/>
    <w:multiLevelType w:val="hybridMultilevel"/>
    <w:tmpl w:val="E9B6805C"/>
    <w:lvl w:ilvl="0" w:tplc="19E0E796">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531763EB"/>
    <w:multiLevelType w:val="hybridMultilevel"/>
    <w:tmpl w:val="EA7AD59A"/>
    <w:lvl w:ilvl="0" w:tplc="19E0E796">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438C3C"/>
    <w:multiLevelType w:val="hybridMultilevel"/>
    <w:tmpl w:val="FFFFFFFF"/>
    <w:lvl w:ilvl="0" w:tplc="BB9A9E30">
      <w:start w:val="1"/>
      <w:numFmt w:val="bullet"/>
      <w:lvlText w:val=""/>
      <w:lvlJc w:val="left"/>
      <w:pPr>
        <w:ind w:left="720" w:hanging="360"/>
      </w:pPr>
      <w:rPr>
        <w:rFonts w:ascii="Symbol" w:hAnsi="Symbol" w:hint="default"/>
      </w:rPr>
    </w:lvl>
    <w:lvl w:ilvl="1" w:tplc="1D50FC0E">
      <w:start w:val="1"/>
      <w:numFmt w:val="bullet"/>
      <w:lvlText w:val="o"/>
      <w:lvlJc w:val="left"/>
      <w:pPr>
        <w:ind w:left="1440" w:hanging="360"/>
      </w:pPr>
      <w:rPr>
        <w:rFonts w:ascii="Courier New" w:hAnsi="Courier New" w:hint="default"/>
      </w:rPr>
    </w:lvl>
    <w:lvl w:ilvl="2" w:tplc="478AD47E">
      <w:start w:val="1"/>
      <w:numFmt w:val="bullet"/>
      <w:lvlText w:val=""/>
      <w:lvlJc w:val="left"/>
      <w:pPr>
        <w:ind w:left="2160" w:hanging="360"/>
      </w:pPr>
      <w:rPr>
        <w:rFonts w:ascii="Wingdings" w:hAnsi="Wingdings" w:hint="default"/>
      </w:rPr>
    </w:lvl>
    <w:lvl w:ilvl="3" w:tplc="6E0E6AF8">
      <w:start w:val="1"/>
      <w:numFmt w:val="bullet"/>
      <w:lvlText w:val=""/>
      <w:lvlJc w:val="left"/>
      <w:pPr>
        <w:ind w:left="2880" w:hanging="360"/>
      </w:pPr>
      <w:rPr>
        <w:rFonts w:ascii="Symbol" w:hAnsi="Symbol" w:hint="default"/>
      </w:rPr>
    </w:lvl>
    <w:lvl w:ilvl="4" w:tplc="138AE546">
      <w:start w:val="1"/>
      <w:numFmt w:val="bullet"/>
      <w:lvlText w:val="o"/>
      <w:lvlJc w:val="left"/>
      <w:pPr>
        <w:ind w:left="3600" w:hanging="360"/>
      </w:pPr>
      <w:rPr>
        <w:rFonts w:ascii="Courier New" w:hAnsi="Courier New" w:hint="default"/>
      </w:rPr>
    </w:lvl>
    <w:lvl w:ilvl="5" w:tplc="3272A4E6">
      <w:start w:val="1"/>
      <w:numFmt w:val="bullet"/>
      <w:lvlText w:val=""/>
      <w:lvlJc w:val="left"/>
      <w:pPr>
        <w:ind w:left="4320" w:hanging="360"/>
      </w:pPr>
      <w:rPr>
        <w:rFonts w:ascii="Wingdings" w:hAnsi="Wingdings" w:hint="default"/>
      </w:rPr>
    </w:lvl>
    <w:lvl w:ilvl="6" w:tplc="A70287AE">
      <w:start w:val="1"/>
      <w:numFmt w:val="bullet"/>
      <w:lvlText w:val=""/>
      <w:lvlJc w:val="left"/>
      <w:pPr>
        <w:ind w:left="5040" w:hanging="360"/>
      </w:pPr>
      <w:rPr>
        <w:rFonts w:ascii="Symbol" w:hAnsi="Symbol" w:hint="default"/>
      </w:rPr>
    </w:lvl>
    <w:lvl w:ilvl="7" w:tplc="97C4CA4E">
      <w:start w:val="1"/>
      <w:numFmt w:val="bullet"/>
      <w:lvlText w:val="o"/>
      <w:lvlJc w:val="left"/>
      <w:pPr>
        <w:ind w:left="5760" w:hanging="360"/>
      </w:pPr>
      <w:rPr>
        <w:rFonts w:ascii="Courier New" w:hAnsi="Courier New" w:hint="default"/>
      </w:rPr>
    </w:lvl>
    <w:lvl w:ilvl="8" w:tplc="CC5A4FA0">
      <w:start w:val="1"/>
      <w:numFmt w:val="bullet"/>
      <w:lvlText w:val=""/>
      <w:lvlJc w:val="left"/>
      <w:pPr>
        <w:ind w:left="6480" w:hanging="360"/>
      </w:pPr>
      <w:rPr>
        <w:rFonts w:ascii="Wingdings" w:hAnsi="Wingdings" w:hint="default"/>
      </w:rPr>
    </w:lvl>
  </w:abstractNum>
  <w:abstractNum w:abstractNumId="6" w15:restartNumberingAfterBreak="0">
    <w:nsid w:val="60376ADE"/>
    <w:multiLevelType w:val="hybridMultilevel"/>
    <w:tmpl w:val="D3286136"/>
    <w:lvl w:ilvl="0" w:tplc="DF2883E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541A9D"/>
    <w:multiLevelType w:val="hybridMultilevel"/>
    <w:tmpl w:val="5C5CA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FE1812"/>
    <w:multiLevelType w:val="hybridMultilevel"/>
    <w:tmpl w:val="FB56B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F92F0D"/>
    <w:multiLevelType w:val="hybridMultilevel"/>
    <w:tmpl w:val="4DB6B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447C43"/>
    <w:multiLevelType w:val="hybridMultilevel"/>
    <w:tmpl w:val="D2B60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A05F21"/>
    <w:multiLevelType w:val="hybridMultilevel"/>
    <w:tmpl w:val="DE920E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9685101">
    <w:abstractNumId w:val="3"/>
  </w:num>
  <w:num w:numId="2" w16cid:durableId="532422110">
    <w:abstractNumId w:val="4"/>
  </w:num>
  <w:num w:numId="3" w16cid:durableId="1322849462">
    <w:abstractNumId w:val="6"/>
  </w:num>
  <w:num w:numId="4" w16cid:durableId="413355970">
    <w:abstractNumId w:val="8"/>
  </w:num>
  <w:num w:numId="5" w16cid:durableId="1841698932">
    <w:abstractNumId w:val="7"/>
  </w:num>
  <w:num w:numId="6" w16cid:durableId="569996013">
    <w:abstractNumId w:val="2"/>
  </w:num>
  <w:num w:numId="7" w16cid:durableId="223176684">
    <w:abstractNumId w:val="9"/>
  </w:num>
  <w:num w:numId="8" w16cid:durableId="1170679291">
    <w:abstractNumId w:val="0"/>
  </w:num>
  <w:num w:numId="9" w16cid:durableId="1908766184">
    <w:abstractNumId w:val="11"/>
  </w:num>
  <w:num w:numId="10" w16cid:durableId="71199746">
    <w:abstractNumId w:val="10"/>
  </w:num>
  <w:num w:numId="11" w16cid:durableId="1361859944">
    <w:abstractNumId w:val="5"/>
  </w:num>
  <w:num w:numId="12" w16cid:durableId="1554999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4A"/>
    <w:rsid w:val="0000E943"/>
    <w:rsid w:val="000110A9"/>
    <w:rsid w:val="00017170"/>
    <w:rsid w:val="000215EA"/>
    <w:rsid w:val="00023CCC"/>
    <w:rsid w:val="00027F9C"/>
    <w:rsid w:val="000379E6"/>
    <w:rsid w:val="00037C6F"/>
    <w:rsid w:val="000421EF"/>
    <w:rsid w:val="00043DB5"/>
    <w:rsid w:val="000501C6"/>
    <w:rsid w:val="000543C2"/>
    <w:rsid w:val="0005446D"/>
    <w:rsid w:val="00054DD5"/>
    <w:rsid w:val="000562BE"/>
    <w:rsid w:val="00056608"/>
    <w:rsid w:val="000641ED"/>
    <w:rsid w:val="0007025F"/>
    <w:rsid w:val="0007447A"/>
    <w:rsid w:val="00076ED5"/>
    <w:rsid w:val="0007743F"/>
    <w:rsid w:val="0008072E"/>
    <w:rsid w:val="00087CCD"/>
    <w:rsid w:val="00087FB8"/>
    <w:rsid w:val="000917BE"/>
    <w:rsid w:val="00092D42"/>
    <w:rsid w:val="00095E93"/>
    <w:rsid w:val="00097029"/>
    <w:rsid w:val="00097DBF"/>
    <w:rsid w:val="000A488D"/>
    <w:rsid w:val="000B3111"/>
    <w:rsid w:val="000C167D"/>
    <w:rsid w:val="000C40B2"/>
    <w:rsid w:val="000C484C"/>
    <w:rsid w:val="000D28B9"/>
    <w:rsid w:val="000D323A"/>
    <w:rsid w:val="000D4480"/>
    <w:rsid w:val="000D6549"/>
    <w:rsid w:val="000E0FFF"/>
    <w:rsid w:val="000F0EF4"/>
    <w:rsid w:val="000F7EA3"/>
    <w:rsid w:val="001028F2"/>
    <w:rsid w:val="001069CC"/>
    <w:rsid w:val="00110977"/>
    <w:rsid w:val="00111134"/>
    <w:rsid w:val="001149A4"/>
    <w:rsid w:val="00115DC1"/>
    <w:rsid w:val="001179B6"/>
    <w:rsid w:val="001278BD"/>
    <w:rsid w:val="001313B2"/>
    <w:rsid w:val="0013210D"/>
    <w:rsid w:val="001400B3"/>
    <w:rsid w:val="00140C2E"/>
    <w:rsid w:val="00141E20"/>
    <w:rsid w:val="00142FEB"/>
    <w:rsid w:val="00144121"/>
    <w:rsid w:val="0014546A"/>
    <w:rsid w:val="00151353"/>
    <w:rsid w:val="001518FA"/>
    <w:rsid w:val="00153D36"/>
    <w:rsid w:val="00163683"/>
    <w:rsid w:val="0017158E"/>
    <w:rsid w:val="00173095"/>
    <w:rsid w:val="0017477B"/>
    <w:rsid w:val="00174B52"/>
    <w:rsid w:val="00176C0E"/>
    <w:rsid w:val="00197611"/>
    <w:rsid w:val="00197863"/>
    <w:rsid w:val="001A14FC"/>
    <w:rsid w:val="001A4B07"/>
    <w:rsid w:val="001A5908"/>
    <w:rsid w:val="001A598D"/>
    <w:rsid w:val="001A6E57"/>
    <w:rsid w:val="001B0E01"/>
    <w:rsid w:val="001B4722"/>
    <w:rsid w:val="001B7233"/>
    <w:rsid w:val="001C0956"/>
    <w:rsid w:val="001C2C3D"/>
    <w:rsid w:val="001C7129"/>
    <w:rsid w:val="001D01F4"/>
    <w:rsid w:val="001D03D4"/>
    <w:rsid w:val="001D23A9"/>
    <w:rsid w:val="001D3EA6"/>
    <w:rsid w:val="001D6284"/>
    <w:rsid w:val="001E2F1E"/>
    <w:rsid w:val="001E4AE9"/>
    <w:rsid w:val="001E6D58"/>
    <w:rsid w:val="002017D8"/>
    <w:rsid w:val="00202127"/>
    <w:rsid w:val="00211FFA"/>
    <w:rsid w:val="0022407C"/>
    <w:rsid w:val="00224AF0"/>
    <w:rsid w:val="002271A7"/>
    <w:rsid w:val="00235DBE"/>
    <w:rsid w:val="00236F77"/>
    <w:rsid w:val="002403CD"/>
    <w:rsid w:val="0024429D"/>
    <w:rsid w:val="00244FE4"/>
    <w:rsid w:val="00253962"/>
    <w:rsid w:val="00254678"/>
    <w:rsid w:val="002569C5"/>
    <w:rsid w:val="00257933"/>
    <w:rsid w:val="00263C6C"/>
    <w:rsid w:val="0026732A"/>
    <w:rsid w:val="00270C08"/>
    <w:rsid w:val="00271E38"/>
    <w:rsid w:val="00271EF5"/>
    <w:rsid w:val="002754B8"/>
    <w:rsid w:val="002758C7"/>
    <w:rsid w:val="00281779"/>
    <w:rsid w:val="00286758"/>
    <w:rsid w:val="00294E6A"/>
    <w:rsid w:val="0029618A"/>
    <w:rsid w:val="002973EE"/>
    <w:rsid w:val="002979BD"/>
    <w:rsid w:val="002A310C"/>
    <w:rsid w:val="002B4F12"/>
    <w:rsid w:val="002B54A2"/>
    <w:rsid w:val="002C18DE"/>
    <w:rsid w:val="002D01D0"/>
    <w:rsid w:val="002D4670"/>
    <w:rsid w:val="002D4B06"/>
    <w:rsid w:val="002E4587"/>
    <w:rsid w:val="002E5018"/>
    <w:rsid w:val="002E6D2F"/>
    <w:rsid w:val="002F3754"/>
    <w:rsid w:val="002F4ED4"/>
    <w:rsid w:val="002F64A5"/>
    <w:rsid w:val="002F6DB7"/>
    <w:rsid w:val="00301A69"/>
    <w:rsid w:val="003035F7"/>
    <w:rsid w:val="00305EBA"/>
    <w:rsid w:val="003109C0"/>
    <w:rsid w:val="0031278E"/>
    <w:rsid w:val="00315BF9"/>
    <w:rsid w:val="0031610C"/>
    <w:rsid w:val="003183FF"/>
    <w:rsid w:val="00324576"/>
    <w:rsid w:val="00327E7F"/>
    <w:rsid w:val="003302DD"/>
    <w:rsid w:val="0033351A"/>
    <w:rsid w:val="00341381"/>
    <w:rsid w:val="00342629"/>
    <w:rsid w:val="00343E91"/>
    <w:rsid w:val="0034686C"/>
    <w:rsid w:val="00360979"/>
    <w:rsid w:val="00362A6F"/>
    <w:rsid w:val="00366FF3"/>
    <w:rsid w:val="0036727F"/>
    <w:rsid w:val="003672D6"/>
    <w:rsid w:val="00370186"/>
    <w:rsid w:val="00370511"/>
    <w:rsid w:val="00370D13"/>
    <w:rsid w:val="00371237"/>
    <w:rsid w:val="00375CAA"/>
    <w:rsid w:val="00381CF2"/>
    <w:rsid w:val="00382DD1"/>
    <w:rsid w:val="00384930"/>
    <w:rsid w:val="00387A3A"/>
    <w:rsid w:val="00391057"/>
    <w:rsid w:val="00391842"/>
    <w:rsid w:val="003A039B"/>
    <w:rsid w:val="003A3385"/>
    <w:rsid w:val="003A39B7"/>
    <w:rsid w:val="003A41AC"/>
    <w:rsid w:val="003B1349"/>
    <w:rsid w:val="003B72D5"/>
    <w:rsid w:val="003C00A3"/>
    <w:rsid w:val="003C0995"/>
    <w:rsid w:val="003D2337"/>
    <w:rsid w:val="003E116E"/>
    <w:rsid w:val="003E11D3"/>
    <w:rsid w:val="003E2F85"/>
    <w:rsid w:val="003E5675"/>
    <w:rsid w:val="003F5B29"/>
    <w:rsid w:val="00404DB9"/>
    <w:rsid w:val="00407A3B"/>
    <w:rsid w:val="00413994"/>
    <w:rsid w:val="004204F4"/>
    <w:rsid w:val="004319D8"/>
    <w:rsid w:val="004356ED"/>
    <w:rsid w:val="00441804"/>
    <w:rsid w:val="00441EB9"/>
    <w:rsid w:val="00444128"/>
    <w:rsid w:val="00444EEF"/>
    <w:rsid w:val="00450ECC"/>
    <w:rsid w:val="00451CD5"/>
    <w:rsid w:val="004545BE"/>
    <w:rsid w:val="0045613D"/>
    <w:rsid w:val="00456F1F"/>
    <w:rsid w:val="00462D84"/>
    <w:rsid w:val="00462FEE"/>
    <w:rsid w:val="0047384E"/>
    <w:rsid w:val="0048012F"/>
    <w:rsid w:val="00482408"/>
    <w:rsid w:val="00482550"/>
    <w:rsid w:val="0048611B"/>
    <w:rsid w:val="00490177"/>
    <w:rsid w:val="00493EE3"/>
    <w:rsid w:val="004A1EC8"/>
    <w:rsid w:val="004A234E"/>
    <w:rsid w:val="004A54EC"/>
    <w:rsid w:val="004B060F"/>
    <w:rsid w:val="004C0854"/>
    <w:rsid w:val="004C3BCB"/>
    <w:rsid w:val="004C4432"/>
    <w:rsid w:val="004C5D03"/>
    <w:rsid w:val="004C6DD0"/>
    <w:rsid w:val="004D4D30"/>
    <w:rsid w:val="004E31DA"/>
    <w:rsid w:val="004E5E5B"/>
    <w:rsid w:val="004F744D"/>
    <w:rsid w:val="00500661"/>
    <w:rsid w:val="005006F2"/>
    <w:rsid w:val="005013BC"/>
    <w:rsid w:val="00505C07"/>
    <w:rsid w:val="00507CF7"/>
    <w:rsid w:val="00526E06"/>
    <w:rsid w:val="00535768"/>
    <w:rsid w:val="00535D83"/>
    <w:rsid w:val="00536402"/>
    <w:rsid w:val="0054076B"/>
    <w:rsid w:val="00540B19"/>
    <w:rsid w:val="00540F16"/>
    <w:rsid w:val="005418F4"/>
    <w:rsid w:val="005443F6"/>
    <w:rsid w:val="00546B4E"/>
    <w:rsid w:val="00547BEF"/>
    <w:rsid w:val="0055104A"/>
    <w:rsid w:val="005517F2"/>
    <w:rsid w:val="00562CF7"/>
    <w:rsid w:val="0056448A"/>
    <w:rsid w:val="0056503E"/>
    <w:rsid w:val="005656F4"/>
    <w:rsid w:val="00566496"/>
    <w:rsid w:val="005665F8"/>
    <w:rsid w:val="005676D6"/>
    <w:rsid w:val="00575EDE"/>
    <w:rsid w:val="00580376"/>
    <w:rsid w:val="00580BA4"/>
    <w:rsid w:val="00582ABE"/>
    <w:rsid w:val="005850C3"/>
    <w:rsid w:val="00590F61"/>
    <w:rsid w:val="005962F1"/>
    <w:rsid w:val="005A3D9B"/>
    <w:rsid w:val="005A5BD3"/>
    <w:rsid w:val="005A656E"/>
    <w:rsid w:val="005B1C8B"/>
    <w:rsid w:val="005B2948"/>
    <w:rsid w:val="005B3B5D"/>
    <w:rsid w:val="005C171E"/>
    <w:rsid w:val="005C3BA8"/>
    <w:rsid w:val="005C5FD9"/>
    <w:rsid w:val="005C6B75"/>
    <w:rsid w:val="005D0097"/>
    <w:rsid w:val="005D3365"/>
    <w:rsid w:val="005E1A5D"/>
    <w:rsid w:val="005E3BD6"/>
    <w:rsid w:val="005E3EA9"/>
    <w:rsid w:val="00603CE3"/>
    <w:rsid w:val="00604091"/>
    <w:rsid w:val="00605B62"/>
    <w:rsid w:val="00610BDD"/>
    <w:rsid w:val="00610EA0"/>
    <w:rsid w:val="00615B60"/>
    <w:rsid w:val="006162A8"/>
    <w:rsid w:val="006220A8"/>
    <w:rsid w:val="00624B26"/>
    <w:rsid w:val="00626A63"/>
    <w:rsid w:val="00627E8A"/>
    <w:rsid w:val="006300F4"/>
    <w:rsid w:val="0063127B"/>
    <w:rsid w:val="00634C2D"/>
    <w:rsid w:val="00645308"/>
    <w:rsid w:val="0066201F"/>
    <w:rsid w:val="006640CD"/>
    <w:rsid w:val="00671AEB"/>
    <w:rsid w:val="00673EA2"/>
    <w:rsid w:val="006744DF"/>
    <w:rsid w:val="00675250"/>
    <w:rsid w:val="006821EA"/>
    <w:rsid w:val="00683C5A"/>
    <w:rsid w:val="006842D6"/>
    <w:rsid w:val="00687547"/>
    <w:rsid w:val="00691568"/>
    <w:rsid w:val="006927F2"/>
    <w:rsid w:val="00697108"/>
    <w:rsid w:val="006A1764"/>
    <w:rsid w:val="006A2124"/>
    <w:rsid w:val="006A21D8"/>
    <w:rsid w:val="006A3B64"/>
    <w:rsid w:val="006A63DB"/>
    <w:rsid w:val="006A6C4F"/>
    <w:rsid w:val="006C1C6C"/>
    <w:rsid w:val="006C392F"/>
    <w:rsid w:val="006C55DE"/>
    <w:rsid w:val="006C739C"/>
    <w:rsid w:val="006D70A7"/>
    <w:rsid w:val="006D70D4"/>
    <w:rsid w:val="006E02E8"/>
    <w:rsid w:val="006E51F0"/>
    <w:rsid w:val="006F2863"/>
    <w:rsid w:val="006F391E"/>
    <w:rsid w:val="006F7C38"/>
    <w:rsid w:val="0070569C"/>
    <w:rsid w:val="00707D6A"/>
    <w:rsid w:val="00711CA0"/>
    <w:rsid w:val="00711DEF"/>
    <w:rsid w:val="00715A29"/>
    <w:rsid w:val="00715D95"/>
    <w:rsid w:val="007216CB"/>
    <w:rsid w:val="00722827"/>
    <w:rsid w:val="00723AC4"/>
    <w:rsid w:val="0073025D"/>
    <w:rsid w:val="00734149"/>
    <w:rsid w:val="00734C94"/>
    <w:rsid w:val="00734E68"/>
    <w:rsid w:val="00744246"/>
    <w:rsid w:val="00746683"/>
    <w:rsid w:val="007469C1"/>
    <w:rsid w:val="007537D4"/>
    <w:rsid w:val="00755C78"/>
    <w:rsid w:val="0076791F"/>
    <w:rsid w:val="007706AA"/>
    <w:rsid w:val="007716DE"/>
    <w:rsid w:val="00780760"/>
    <w:rsid w:val="00784D25"/>
    <w:rsid w:val="00785F75"/>
    <w:rsid w:val="007876F1"/>
    <w:rsid w:val="00790759"/>
    <w:rsid w:val="00792612"/>
    <w:rsid w:val="007941EA"/>
    <w:rsid w:val="007960EC"/>
    <w:rsid w:val="00796428"/>
    <w:rsid w:val="007966AA"/>
    <w:rsid w:val="007B5965"/>
    <w:rsid w:val="007B758B"/>
    <w:rsid w:val="007C08D1"/>
    <w:rsid w:val="007C2EB2"/>
    <w:rsid w:val="007C50BE"/>
    <w:rsid w:val="007CAC5A"/>
    <w:rsid w:val="007D3A2A"/>
    <w:rsid w:val="007D7E55"/>
    <w:rsid w:val="007E3B46"/>
    <w:rsid w:val="00802F1B"/>
    <w:rsid w:val="00803CD2"/>
    <w:rsid w:val="0081275D"/>
    <w:rsid w:val="00815883"/>
    <w:rsid w:val="008172CC"/>
    <w:rsid w:val="00817AE9"/>
    <w:rsid w:val="00823BBF"/>
    <w:rsid w:val="00824B9C"/>
    <w:rsid w:val="00830243"/>
    <w:rsid w:val="00831CCB"/>
    <w:rsid w:val="008348BB"/>
    <w:rsid w:val="00834E89"/>
    <w:rsid w:val="00854559"/>
    <w:rsid w:val="0086346B"/>
    <w:rsid w:val="008638FB"/>
    <w:rsid w:val="0086425D"/>
    <w:rsid w:val="00873790"/>
    <w:rsid w:val="00885362"/>
    <w:rsid w:val="00890E6E"/>
    <w:rsid w:val="0089512F"/>
    <w:rsid w:val="00895DB7"/>
    <w:rsid w:val="008A13CE"/>
    <w:rsid w:val="008A2ECD"/>
    <w:rsid w:val="008A77B2"/>
    <w:rsid w:val="008B0E18"/>
    <w:rsid w:val="008B1E5E"/>
    <w:rsid w:val="008B5C0C"/>
    <w:rsid w:val="008B696A"/>
    <w:rsid w:val="008B6E90"/>
    <w:rsid w:val="008B7495"/>
    <w:rsid w:val="008C126C"/>
    <w:rsid w:val="008C20CE"/>
    <w:rsid w:val="008C303D"/>
    <w:rsid w:val="008C5C66"/>
    <w:rsid w:val="008C7024"/>
    <w:rsid w:val="008E1690"/>
    <w:rsid w:val="008E4FDE"/>
    <w:rsid w:val="008E6B97"/>
    <w:rsid w:val="008F0EB0"/>
    <w:rsid w:val="008F195E"/>
    <w:rsid w:val="008F56B6"/>
    <w:rsid w:val="00901606"/>
    <w:rsid w:val="009039B1"/>
    <w:rsid w:val="0091190D"/>
    <w:rsid w:val="00915F3B"/>
    <w:rsid w:val="00916346"/>
    <w:rsid w:val="0091799E"/>
    <w:rsid w:val="009179F6"/>
    <w:rsid w:val="00921A73"/>
    <w:rsid w:val="009222DC"/>
    <w:rsid w:val="00922B4C"/>
    <w:rsid w:val="00923506"/>
    <w:rsid w:val="00924735"/>
    <w:rsid w:val="00925621"/>
    <w:rsid w:val="00931E1E"/>
    <w:rsid w:val="0093466B"/>
    <w:rsid w:val="009417F7"/>
    <w:rsid w:val="009423B0"/>
    <w:rsid w:val="00950512"/>
    <w:rsid w:val="0095308D"/>
    <w:rsid w:val="0095669E"/>
    <w:rsid w:val="00960A24"/>
    <w:rsid w:val="00962E86"/>
    <w:rsid w:val="009643BE"/>
    <w:rsid w:val="00967FB4"/>
    <w:rsid w:val="00971145"/>
    <w:rsid w:val="0097363F"/>
    <w:rsid w:val="009751D7"/>
    <w:rsid w:val="009770BF"/>
    <w:rsid w:val="00990DC5"/>
    <w:rsid w:val="009972B1"/>
    <w:rsid w:val="009A5502"/>
    <w:rsid w:val="009A7149"/>
    <w:rsid w:val="009A79A9"/>
    <w:rsid w:val="009B44B8"/>
    <w:rsid w:val="009C0A00"/>
    <w:rsid w:val="009C1B21"/>
    <w:rsid w:val="009C61A3"/>
    <w:rsid w:val="009D56FE"/>
    <w:rsid w:val="009D6BFF"/>
    <w:rsid w:val="009E4CA8"/>
    <w:rsid w:val="009F17A2"/>
    <w:rsid w:val="009F4591"/>
    <w:rsid w:val="009F482B"/>
    <w:rsid w:val="009F7B4C"/>
    <w:rsid w:val="00A05085"/>
    <w:rsid w:val="00A05811"/>
    <w:rsid w:val="00A06084"/>
    <w:rsid w:val="00A1014F"/>
    <w:rsid w:val="00A10CC0"/>
    <w:rsid w:val="00A132AE"/>
    <w:rsid w:val="00A147A2"/>
    <w:rsid w:val="00A26887"/>
    <w:rsid w:val="00A307BE"/>
    <w:rsid w:val="00A30F30"/>
    <w:rsid w:val="00A311FF"/>
    <w:rsid w:val="00A32746"/>
    <w:rsid w:val="00A332A8"/>
    <w:rsid w:val="00A355B6"/>
    <w:rsid w:val="00A35E4A"/>
    <w:rsid w:val="00A41C7E"/>
    <w:rsid w:val="00A42978"/>
    <w:rsid w:val="00A42AB8"/>
    <w:rsid w:val="00A440BC"/>
    <w:rsid w:val="00A578DC"/>
    <w:rsid w:val="00A624FC"/>
    <w:rsid w:val="00A66577"/>
    <w:rsid w:val="00A70144"/>
    <w:rsid w:val="00A71377"/>
    <w:rsid w:val="00A71946"/>
    <w:rsid w:val="00A73F7C"/>
    <w:rsid w:val="00A826B4"/>
    <w:rsid w:val="00A86A00"/>
    <w:rsid w:val="00A876D5"/>
    <w:rsid w:val="00A91B97"/>
    <w:rsid w:val="00A92D1D"/>
    <w:rsid w:val="00AA139D"/>
    <w:rsid w:val="00AA2459"/>
    <w:rsid w:val="00AB34D0"/>
    <w:rsid w:val="00AB37CF"/>
    <w:rsid w:val="00AC0C64"/>
    <w:rsid w:val="00AC18EB"/>
    <w:rsid w:val="00AC2050"/>
    <w:rsid w:val="00AC4413"/>
    <w:rsid w:val="00AC59C3"/>
    <w:rsid w:val="00AC5CA5"/>
    <w:rsid w:val="00AC71E3"/>
    <w:rsid w:val="00AD54D8"/>
    <w:rsid w:val="00AD6E81"/>
    <w:rsid w:val="00AD75BA"/>
    <w:rsid w:val="00AF3564"/>
    <w:rsid w:val="00AF7A9C"/>
    <w:rsid w:val="00AF7ACF"/>
    <w:rsid w:val="00AF7F2B"/>
    <w:rsid w:val="00B0191A"/>
    <w:rsid w:val="00B05B3C"/>
    <w:rsid w:val="00B06E96"/>
    <w:rsid w:val="00B077D2"/>
    <w:rsid w:val="00B14307"/>
    <w:rsid w:val="00B1538E"/>
    <w:rsid w:val="00B15F85"/>
    <w:rsid w:val="00B30008"/>
    <w:rsid w:val="00B30B80"/>
    <w:rsid w:val="00B31D62"/>
    <w:rsid w:val="00B32CA6"/>
    <w:rsid w:val="00B3490C"/>
    <w:rsid w:val="00B41976"/>
    <w:rsid w:val="00B42FAF"/>
    <w:rsid w:val="00B46122"/>
    <w:rsid w:val="00B46A16"/>
    <w:rsid w:val="00B52C6D"/>
    <w:rsid w:val="00B53386"/>
    <w:rsid w:val="00B536C0"/>
    <w:rsid w:val="00B54722"/>
    <w:rsid w:val="00B56528"/>
    <w:rsid w:val="00B62FFE"/>
    <w:rsid w:val="00B65CA3"/>
    <w:rsid w:val="00B70739"/>
    <w:rsid w:val="00B7262C"/>
    <w:rsid w:val="00B7497B"/>
    <w:rsid w:val="00B74FBB"/>
    <w:rsid w:val="00B773B2"/>
    <w:rsid w:val="00B80CA5"/>
    <w:rsid w:val="00B82619"/>
    <w:rsid w:val="00B82EC5"/>
    <w:rsid w:val="00B84C4A"/>
    <w:rsid w:val="00B8EC75"/>
    <w:rsid w:val="00B93C20"/>
    <w:rsid w:val="00BA3CB3"/>
    <w:rsid w:val="00BA7793"/>
    <w:rsid w:val="00BB0A5C"/>
    <w:rsid w:val="00BB45A6"/>
    <w:rsid w:val="00BC4C2E"/>
    <w:rsid w:val="00BC766A"/>
    <w:rsid w:val="00BD2353"/>
    <w:rsid w:val="00BD24D6"/>
    <w:rsid w:val="00BD6DC7"/>
    <w:rsid w:val="00BD7F33"/>
    <w:rsid w:val="00BE09DF"/>
    <w:rsid w:val="00BE103D"/>
    <w:rsid w:val="00BF670A"/>
    <w:rsid w:val="00C00FC6"/>
    <w:rsid w:val="00C11BBE"/>
    <w:rsid w:val="00C1535B"/>
    <w:rsid w:val="00C1560A"/>
    <w:rsid w:val="00C15837"/>
    <w:rsid w:val="00C22E7B"/>
    <w:rsid w:val="00C23FCC"/>
    <w:rsid w:val="00C242FD"/>
    <w:rsid w:val="00C33CC9"/>
    <w:rsid w:val="00C35CD0"/>
    <w:rsid w:val="00C3771E"/>
    <w:rsid w:val="00C378B6"/>
    <w:rsid w:val="00C37E17"/>
    <w:rsid w:val="00C41D2B"/>
    <w:rsid w:val="00C46966"/>
    <w:rsid w:val="00C46E9A"/>
    <w:rsid w:val="00C47C54"/>
    <w:rsid w:val="00C504A2"/>
    <w:rsid w:val="00C57BC6"/>
    <w:rsid w:val="00C63CA8"/>
    <w:rsid w:val="00C66E8E"/>
    <w:rsid w:val="00C83277"/>
    <w:rsid w:val="00C84EDF"/>
    <w:rsid w:val="00CA1ED3"/>
    <w:rsid w:val="00CA3B56"/>
    <w:rsid w:val="00CA3BAB"/>
    <w:rsid w:val="00CB15F1"/>
    <w:rsid w:val="00CB1D36"/>
    <w:rsid w:val="00CB1FE6"/>
    <w:rsid w:val="00CD1F89"/>
    <w:rsid w:val="00CD4A4D"/>
    <w:rsid w:val="00CF0665"/>
    <w:rsid w:val="00CF079A"/>
    <w:rsid w:val="00CF6597"/>
    <w:rsid w:val="00D0215B"/>
    <w:rsid w:val="00D0366E"/>
    <w:rsid w:val="00D03999"/>
    <w:rsid w:val="00D1092D"/>
    <w:rsid w:val="00D12F96"/>
    <w:rsid w:val="00D13E64"/>
    <w:rsid w:val="00D17FFA"/>
    <w:rsid w:val="00D208B2"/>
    <w:rsid w:val="00D33B76"/>
    <w:rsid w:val="00D34974"/>
    <w:rsid w:val="00D360A9"/>
    <w:rsid w:val="00D425F2"/>
    <w:rsid w:val="00D43550"/>
    <w:rsid w:val="00D505B0"/>
    <w:rsid w:val="00D54688"/>
    <w:rsid w:val="00D615E3"/>
    <w:rsid w:val="00D63653"/>
    <w:rsid w:val="00D7191B"/>
    <w:rsid w:val="00D72E1F"/>
    <w:rsid w:val="00D742B5"/>
    <w:rsid w:val="00D8117B"/>
    <w:rsid w:val="00D85A9F"/>
    <w:rsid w:val="00D91D9D"/>
    <w:rsid w:val="00DB3D05"/>
    <w:rsid w:val="00DC073B"/>
    <w:rsid w:val="00DC3E96"/>
    <w:rsid w:val="00DD07AB"/>
    <w:rsid w:val="00DD1E14"/>
    <w:rsid w:val="00DD3BE0"/>
    <w:rsid w:val="00DE3E0B"/>
    <w:rsid w:val="00DF2A89"/>
    <w:rsid w:val="00E03154"/>
    <w:rsid w:val="00E05481"/>
    <w:rsid w:val="00E056E1"/>
    <w:rsid w:val="00E0690D"/>
    <w:rsid w:val="00E133E0"/>
    <w:rsid w:val="00E15B77"/>
    <w:rsid w:val="00E26463"/>
    <w:rsid w:val="00E2791F"/>
    <w:rsid w:val="00E27E59"/>
    <w:rsid w:val="00E34C20"/>
    <w:rsid w:val="00E34F48"/>
    <w:rsid w:val="00E36BA9"/>
    <w:rsid w:val="00E41574"/>
    <w:rsid w:val="00E41E0F"/>
    <w:rsid w:val="00E43257"/>
    <w:rsid w:val="00E45446"/>
    <w:rsid w:val="00E50F3A"/>
    <w:rsid w:val="00E55D89"/>
    <w:rsid w:val="00E6257C"/>
    <w:rsid w:val="00E64A31"/>
    <w:rsid w:val="00E6515A"/>
    <w:rsid w:val="00E65792"/>
    <w:rsid w:val="00E663F5"/>
    <w:rsid w:val="00E7019A"/>
    <w:rsid w:val="00E7098B"/>
    <w:rsid w:val="00E72DBF"/>
    <w:rsid w:val="00E73EA2"/>
    <w:rsid w:val="00E74953"/>
    <w:rsid w:val="00E75B24"/>
    <w:rsid w:val="00E76F3D"/>
    <w:rsid w:val="00E83A29"/>
    <w:rsid w:val="00E92E8E"/>
    <w:rsid w:val="00E93FE7"/>
    <w:rsid w:val="00E96225"/>
    <w:rsid w:val="00EA0514"/>
    <w:rsid w:val="00EA06B7"/>
    <w:rsid w:val="00EA4108"/>
    <w:rsid w:val="00EA48FA"/>
    <w:rsid w:val="00EA5D13"/>
    <w:rsid w:val="00EB5A62"/>
    <w:rsid w:val="00EB6472"/>
    <w:rsid w:val="00EC0BB0"/>
    <w:rsid w:val="00EC1BCE"/>
    <w:rsid w:val="00EC1D91"/>
    <w:rsid w:val="00EC562B"/>
    <w:rsid w:val="00EC5FBF"/>
    <w:rsid w:val="00EC66A7"/>
    <w:rsid w:val="00EC69C4"/>
    <w:rsid w:val="00EE1A70"/>
    <w:rsid w:val="00EE76BD"/>
    <w:rsid w:val="00EF0FB0"/>
    <w:rsid w:val="00EF5DEB"/>
    <w:rsid w:val="00F01A67"/>
    <w:rsid w:val="00F057C5"/>
    <w:rsid w:val="00F07E4C"/>
    <w:rsid w:val="00F14DE5"/>
    <w:rsid w:val="00F317A5"/>
    <w:rsid w:val="00F3215A"/>
    <w:rsid w:val="00F34AF0"/>
    <w:rsid w:val="00F376B1"/>
    <w:rsid w:val="00F42480"/>
    <w:rsid w:val="00F424D2"/>
    <w:rsid w:val="00F46326"/>
    <w:rsid w:val="00F47615"/>
    <w:rsid w:val="00F603A3"/>
    <w:rsid w:val="00F629B2"/>
    <w:rsid w:val="00F63D45"/>
    <w:rsid w:val="00F77611"/>
    <w:rsid w:val="00F77A09"/>
    <w:rsid w:val="00F90976"/>
    <w:rsid w:val="00F913FC"/>
    <w:rsid w:val="00F93E78"/>
    <w:rsid w:val="00FA00B2"/>
    <w:rsid w:val="00FA358F"/>
    <w:rsid w:val="00FA36EB"/>
    <w:rsid w:val="00FA65AD"/>
    <w:rsid w:val="00FB144D"/>
    <w:rsid w:val="00FB3DB0"/>
    <w:rsid w:val="00FB46D9"/>
    <w:rsid w:val="00FB5EF4"/>
    <w:rsid w:val="00FC3A7B"/>
    <w:rsid w:val="00FC4EB9"/>
    <w:rsid w:val="00FC54B4"/>
    <w:rsid w:val="00FC646E"/>
    <w:rsid w:val="00FD546C"/>
    <w:rsid w:val="00FD5BDE"/>
    <w:rsid w:val="00FE3A2B"/>
    <w:rsid w:val="00FE6864"/>
    <w:rsid w:val="00FF0512"/>
    <w:rsid w:val="0112B4A8"/>
    <w:rsid w:val="0143693B"/>
    <w:rsid w:val="01809252"/>
    <w:rsid w:val="019CF025"/>
    <w:rsid w:val="01EB12C3"/>
    <w:rsid w:val="01EEBB97"/>
    <w:rsid w:val="0235D2FD"/>
    <w:rsid w:val="024AA441"/>
    <w:rsid w:val="026301B8"/>
    <w:rsid w:val="02834DEF"/>
    <w:rsid w:val="02AC5320"/>
    <w:rsid w:val="02BE14CE"/>
    <w:rsid w:val="02CFDEAB"/>
    <w:rsid w:val="02DD1622"/>
    <w:rsid w:val="02EC8B8C"/>
    <w:rsid w:val="0325BDF2"/>
    <w:rsid w:val="03D5B8E6"/>
    <w:rsid w:val="03EEA2B3"/>
    <w:rsid w:val="0455F28E"/>
    <w:rsid w:val="046FAF84"/>
    <w:rsid w:val="04B6ED06"/>
    <w:rsid w:val="04D7CED7"/>
    <w:rsid w:val="0504F8E0"/>
    <w:rsid w:val="0584028C"/>
    <w:rsid w:val="05FCF048"/>
    <w:rsid w:val="062DF011"/>
    <w:rsid w:val="0641E737"/>
    <w:rsid w:val="06A99A90"/>
    <w:rsid w:val="06B9B8AA"/>
    <w:rsid w:val="06DE89AA"/>
    <w:rsid w:val="074F4342"/>
    <w:rsid w:val="075B846F"/>
    <w:rsid w:val="075D4AD7"/>
    <w:rsid w:val="07F6D586"/>
    <w:rsid w:val="09355B53"/>
    <w:rsid w:val="0965796C"/>
    <w:rsid w:val="096FEE47"/>
    <w:rsid w:val="09702FE7"/>
    <w:rsid w:val="098BA437"/>
    <w:rsid w:val="09EC3386"/>
    <w:rsid w:val="0A04D69D"/>
    <w:rsid w:val="0A0B1707"/>
    <w:rsid w:val="0A2811A5"/>
    <w:rsid w:val="0AEB6D36"/>
    <w:rsid w:val="0AF5B1B9"/>
    <w:rsid w:val="0B09FE8F"/>
    <w:rsid w:val="0B44B3BC"/>
    <w:rsid w:val="0BD9D779"/>
    <w:rsid w:val="0BFB6C4B"/>
    <w:rsid w:val="0C405263"/>
    <w:rsid w:val="0C42AF25"/>
    <w:rsid w:val="0CE217B4"/>
    <w:rsid w:val="0CE9341A"/>
    <w:rsid w:val="0D416F8D"/>
    <w:rsid w:val="0D42D14E"/>
    <w:rsid w:val="0D86667C"/>
    <w:rsid w:val="0D9836B8"/>
    <w:rsid w:val="0DA45436"/>
    <w:rsid w:val="0E4416AA"/>
    <w:rsid w:val="0E90BC85"/>
    <w:rsid w:val="0E93B673"/>
    <w:rsid w:val="0F227B28"/>
    <w:rsid w:val="0F3D6190"/>
    <w:rsid w:val="0F5FDEF1"/>
    <w:rsid w:val="0F68B6CB"/>
    <w:rsid w:val="0FBEB293"/>
    <w:rsid w:val="0FCBA60C"/>
    <w:rsid w:val="100F30A2"/>
    <w:rsid w:val="10328701"/>
    <w:rsid w:val="1058A2D0"/>
    <w:rsid w:val="105BE53B"/>
    <w:rsid w:val="10FC0DC1"/>
    <w:rsid w:val="1119F87D"/>
    <w:rsid w:val="115A82F4"/>
    <w:rsid w:val="1177DC63"/>
    <w:rsid w:val="117CA95E"/>
    <w:rsid w:val="11E92B9A"/>
    <w:rsid w:val="123CB368"/>
    <w:rsid w:val="12BE8709"/>
    <w:rsid w:val="12C8FEF1"/>
    <w:rsid w:val="1347A645"/>
    <w:rsid w:val="134B85D5"/>
    <w:rsid w:val="13528732"/>
    <w:rsid w:val="135F9FB2"/>
    <w:rsid w:val="138A3F54"/>
    <w:rsid w:val="13C842AD"/>
    <w:rsid w:val="143101E4"/>
    <w:rsid w:val="1465B9FB"/>
    <w:rsid w:val="14A3DC8C"/>
    <w:rsid w:val="14CD4077"/>
    <w:rsid w:val="1531D54D"/>
    <w:rsid w:val="155CC202"/>
    <w:rsid w:val="15624FD0"/>
    <w:rsid w:val="15762B33"/>
    <w:rsid w:val="15A90D27"/>
    <w:rsid w:val="15AFC893"/>
    <w:rsid w:val="15CCD245"/>
    <w:rsid w:val="15CFDF8B"/>
    <w:rsid w:val="15EE9023"/>
    <w:rsid w:val="1619085F"/>
    <w:rsid w:val="165DE55C"/>
    <w:rsid w:val="16866A44"/>
    <w:rsid w:val="169FEEBC"/>
    <w:rsid w:val="16BE7B7F"/>
    <w:rsid w:val="16C70FF3"/>
    <w:rsid w:val="1700F9D6"/>
    <w:rsid w:val="174D2EBA"/>
    <w:rsid w:val="17528D7C"/>
    <w:rsid w:val="17B139F7"/>
    <w:rsid w:val="17BB0C64"/>
    <w:rsid w:val="1934EB74"/>
    <w:rsid w:val="1983A223"/>
    <w:rsid w:val="19B779D8"/>
    <w:rsid w:val="19C042AC"/>
    <w:rsid w:val="1A8339B6"/>
    <w:rsid w:val="1AAF129B"/>
    <w:rsid w:val="1AF93B90"/>
    <w:rsid w:val="1B4D4ED2"/>
    <w:rsid w:val="1B7DFC08"/>
    <w:rsid w:val="1BC2A8CA"/>
    <w:rsid w:val="1CF7A06F"/>
    <w:rsid w:val="1D3ACE84"/>
    <w:rsid w:val="1D5C4E1C"/>
    <w:rsid w:val="1D752A75"/>
    <w:rsid w:val="1D7B1D3D"/>
    <w:rsid w:val="1DB94374"/>
    <w:rsid w:val="1E22AEE6"/>
    <w:rsid w:val="1F185B98"/>
    <w:rsid w:val="1F3F193D"/>
    <w:rsid w:val="200929ED"/>
    <w:rsid w:val="20A7F7CF"/>
    <w:rsid w:val="20BBFFC5"/>
    <w:rsid w:val="20DF1166"/>
    <w:rsid w:val="21647807"/>
    <w:rsid w:val="2172B854"/>
    <w:rsid w:val="21B08D9F"/>
    <w:rsid w:val="21E86B6B"/>
    <w:rsid w:val="21EFB5E6"/>
    <w:rsid w:val="2207BF4A"/>
    <w:rsid w:val="224E8E60"/>
    <w:rsid w:val="22859E29"/>
    <w:rsid w:val="22CDA8A3"/>
    <w:rsid w:val="22DE1355"/>
    <w:rsid w:val="234C8F38"/>
    <w:rsid w:val="2357AB5A"/>
    <w:rsid w:val="23584B39"/>
    <w:rsid w:val="23CBC68A"/>
    <w:rsid w:val="240B027C"/>
    <w:rsid w:val="2415AA74"/>
    <w:rsid w:val="2455D30C"/>
    <w:rsid w:val="245FBC6F"/>
    <w:rsid w:val="24968B5F"/>
    <w:rsid w:val="24E6FDD8"/>
    <w:rsid w:val="250E1A18"/>
    <w:rsid w:val="25B15A17"/>
    <w:rsid w:val="2618EE8C"/>
    <w:rsid w:val="2620ECE2"/>
    <w:rsid w:val="26348F98"/>
    <w:rsid w:val="265DE57B"/>
    <w:rsid w:val="266464D0"/>
    <w:rsid w:val="26DEB984"/>
    <w:rsid w:val="26FD14D7"/>
    <w:rsid w:val="275F93DE"/>
    <w:rsid w:val="277DA33A"/>
    <w:rsid w:val="27A7858B"/>
    <w:rsid w:val="27B521C7"/>
    <w:rsid w:val="27BB881B"/>
    <w:rsid w:val="280AE093"/>
    <w:rsid w:val="28187877"/>
    <w:rsid w:val="283C7A6E"/>
    <w:rsid w:val="2882BC15"/>
    <w:rsid w:val="28A6ADB3"/>
    <w:rsid w:val="28B84DD9"/>
    <w:rsid w:val="28EBBCFF"/>
    <w:rsid w:val="29386EA3"/>
    <w:rsid w:val="29695D9C"/>
    <w:rsid w:val="29ADC481"/>
    <w:rsid w:val="29FF06B6"/>
    <w:rsid w:val="2A293F2A"/>
    <w:rsid w:val="2A3E5DF4"/>
    <w:rsid w:val="2A4077E8"/>
    <w:rsid w:val="2A64DA49"/>
    <w:rsid w:val="2ABF64CE"/>
    <w:rsid w:val="2AE64424"/>
    <w:rsid w:val="2B5B17CA"/>
    <w:rsid w:val="2B6DD422"/>
    <w:rsid w:val="2B7906EF"/>
    <w:rsid w:val="2BA73311"/>
    <w:rsid w:val="2BC395AE"/>
    <w:rsid w:val="2C83427A"/>
    <w:rsid w:val="2CA21E8E"/>
    <w:rsid w:val="2CB849D3"/>
    <w:rsid w:val="2D57E36D"/>
    <w:rsid w:val="2D8ABFDA"/>
    <w:rsid w:val="2DFCDFDC"/>
    <w:rsid w:val="2E155FE8"/>
    <w:rsid w:val="2F1C9359"/>
    <w:rsid w:val="2F24BAF7"/>
    <w:rsid w:val="2F30C388"/>
    <w:rsid w:val="2F7B4A1D"/>
    <w:rsid w:val="2FB93EB8"/>
    <w:rsid w:val="2FF081A0"/>
    <w:rsid w:val="306D3855"/>
    <w:rsid w:val="3094E755"/>
    <w:rsid w:val="30F66A3D"/>
    <w:rsid w:val="311ACEA9"/>
    <w:rsid w:val="313D37B6"/>
    <w:rsid w:val="3179F635"/>
    <w:rsid w:val="31BCA4BC"/>
    <w:rsid w:val="31E5CC7A"/>
    <w:rsid w:val="320EFA27"/>
    <w:rsid w:val="32309B64"/>
    <w:rsid w:val="325E30FD"/>
    <w:rsid w:val="32A0EF9E"/>
    <w:rsid w:val="32E6478D"/>
    <w:rsid w:val="330E2BF1"/>
    <w:rsid w:val="334152EC"/>
    <w:rsid w:val="33CAB717"/>
    <w:rsid w:val="33DB59B7"/>
    <w:rsid w:val="33F68852"/>
    <w:rsid w:val="34092CD9"/>
    <w:rsid w:val="348A63E3"/>
    <w:rsid w:val="34A61530"/>
    <w:rsid w:val="34A6EFDC"/>
    <w:rsid w:val="34D7DED5"/>
    <w:rsid w:val="3560D094"/>
    <w:rsid w:val="35873B90"/>
    <w:rsid w:val="35ACDF2D"/>
    <w:rsid w:val="35ADDE2B"/>
    <w:rsid w:val="362A3E91"/>
    <w:rsid w:val="36949107"/>
    <w:rsid w:val="369D8260"/>
    <w:rsid w:val="371E30D2"/>
    <w:rsid w:val="37214C4A"/>
    <w:rsid w:val="37CBB484"/>
    <w:rsid w:val="38451935"/>
    <w:rsid w:val="38D89428"/>
    <w:rsid w:val="38FB9EF3"/>
    <w:rsid w:val="390FF472"/>
    <w:rsid w:val="39873F88"/>
    <w:rsid w:val="3989A2A8"/>
    <w:rsid w:val="3A14C066"/>
    <w:rsid w:val="3A6E52FB"/>
    <w:rsid w:val="3A788085"/>
    <w:rsid w:val="3A81495F"/>
    <w:rsid w:val="3AA0CA93"/>
    <w:rsid w:val="3ABC038B"/>
    <w:rsid w:val="3AC62359"/>
    <w:rsid w:val="3B3F7CC2"/>
    <w:rsid w:val="3B4A001B"/>
    <w:rsid w:val="3B578EB8"/>
    <w:rsid w:val="3B5DB805"/>
    <w:rsid w:val="3B6B4C7D"/>
    <w:rsid w:val="3BA2AEF4"/>
    <w:rsid w:val="3BA67832"/>
    <w:rsid w:val="3BF1088A"/>
    <w:rsid w:val="3C1034EA"/>
    <w:rsid w:val="3C22AC76"/>
    <w:rsid w:val="3C4F7727"/>
    <w:rsid w:val="3C8BD31B"/>
    <w:rsid w:val="3C9F4C2E"/>
    <w:rsid w:val="3CBE1294"/>
    <w:rsid w:val="3CD5A65F"/>
    <w:rsid w:val="3CDA50C5"/>
    <w:rsid w:val="3D50358C"/>
    <w:rsid w:val="3DDBDDB1"/>
    <w:rsid w:val="3DF4F564"/>
    <w:rsid w:val="3E83B949"/>
    <w:rsid w:val="3ED1192E"/>
    <w:rsid w:val="3EE0A9A5"/>
    <w:rsid w:val="3F69CA10"/>
    <w:rsid w:val="3F6AE077"/>
    <w:rsid w:val="3F77AE12"/>
    <w:rsid w:val="3FCB9007"/>
    <w:rsid w:val="3FDFC244"/>
    <w:rsid w:val="400324EF"/>
    <w:rsid w:val="404FC3A6"/>
    <w:rsid w:val="40B91EC8"/>
    <w:rsid w:val="40C34D80"/>
    <w:rsid w:val="40CDCABC"/>
    <w:rsid w:val="40CF51CD"/>
    <w:rsid w:val="40D4E95F"/>
    <w:rsid w:val="4104D352"/>
    <w:rsid w:val="4111E39A"/>
    <w:rsid w:val="41D78795"/>
    <w:rsid w:val="41E457E7"/>
    <w:rsid w:val="4259C3CC"/>
    <w:rsid w:val="42A28E17"/>
    <w:rsid w:val="42C501AE"/>
    <w:rsid w:val="434BD94A"/>
    <w:rsid w:val="4374FECE"/>
    <w:rsid w:val="440536A4"/>
    <w:rsid w:val="441812AE"/>
    <w:rsid w:val="44C4CE5B"/>
    <w:rsid w:val="44FF9B71"/>
    <w:rsid w:val="45470184"/>
    <w:rsid w:val="454E3BDF"/>
    <w:rsid w:val="4577B692"/>
    <w:rsid w:val="45B3E30F"/>
    <w:rsid w:val="45D90B94"/>
    <w:rsid w:val="45F1F8A0"/>
    <w:rsid w:val="4625CE95"/>
    <w:rsid w:val="4641B4E3"/>
    <w:rsid w:val="469EA53F"/>
    <w:rsid w:val="4720D868"/>
    <w:rsid w:val="47358DBE"/>
    <w:rsid w:val="4765C3C4"/>
    <w:rsid w:val="477D4355"/>
    <w:rsid w:val="478E76BB"/>
    <w:rsid w:val="47F41CF0"/>
    <w:rsid w:val="480878C6"/>
    <w:rsid w:val="481B8BC7"/>
    <w:rsid w:val="4843A1EB"/>
    <w:rsid w:val="4846293A"/>
    <w:rsid w:val="484F768B"/>
    <w:rsid w:val="4870C8DC"/>
    <w:rsid w:val="487553FA"/>
    <w:rsid w:val="490B5ED8"/>
    <w:rsid w:val="49A46198"/>
    <w:rsid w:val="49B8B9C4"/>
    <w:rsid w:val="49DA0C15"/>
    <w:rsid w:val="49E7D999"/>
    <w:rsid w:val="4A2221A3"/>
    <w:rsid w:val="4A6E2BD5"/>
    <w:rsid w:val="4A7AC28E"/>
    <w:rsid w:val="4A875432"/>
    <w:rsid w:val="4A9115FC"/>
    <w:rsid w:val="4AABD066"/>
    <w:rsid w:val="4B44EAA4"/>
    <w:rsid w:val="4B927D56"/>
    <w:rsid w:val="4BB28A9A"/>
    <w:rsid w:val="4BCC4F12"/>
    <w:rsid w:val="4BF55B4C"/>
    <w:rsid w:val="4C0C4371"/>
    <w:rsid w:val="4C27A001"/>
    <w:rsid w:val="4C2901C2"/>
    <w:rsid w:val="4CA69ACD"/>
    <w:rsid w:val="4CCF7B99"/>
    <w:rsid w:val="4CE378F7"/>
    <w:rsid w:val="4D58200F"/>
    <w:rsid w:val="4D69C581"/>
    <w:rsid w:val="4D7AC0D7"/>
    <w:rsid w:val="4D823819"/>
    <w:rsid w:val="4DB88EBE"/>
    <w:rsid w:val="4E04098D"/>
    <w:rsid w:val="4E6819EE"/>
    <w:rsid w:val="4E74D381"/>
    <w:rsid w:val="4E88EE86"/>
    <w:rsid w:val="4F7C9705"/>
    <w:rsid w:val="4F8A997F"/>
    <w:rsid w:val="4FCC069E"/>
    <w:rsid w:val="4FF8CB49"/>
    <w:rsid w:val="501BAA9E"/>
    <w:rsid w:val="50559B4B"/>
    <w:rsid w:val="506275F6"/>
    <w:rsid w:val="510CF45E"/>
    <w:rsid w:val="515D7F21"/>
    <w:rsid w:val="51B0361C"/>
    <w:rsid w:val="51D69BE8"/>
    <w:rsid w:val="520068FD"/>
    <w:rsid w:val="520D2678"/>
    <w:rsid w:val="522EA450"/>
    <w:rsid w:val="526EA960"/>
    <w:rsid w:val="528F0AE2"/>
    <w:rsid w:val="5370C5CE"/>
    <w:rsid w:val="5388DBE1"/>
    <w:rsid w:val="53A2CFBB"/>
    <w:rsid w:val="53A9C49B"/>
    <w:rsid w:val="53C46E21"/>
    <w:rsid w:val="53E59B9B"/>
    <w:rsid w:val="5561A7A6"/>
    <w:rsid w:val="55BDAC17"/>
    <w:rsid w:val="55CF766F"/>
    <w:rsid w:val="567C1F5B"/>
    <w:rsid w:val="56A29BC4"/>
    <w:rsid w:val="56C3620D"/>
    <w:rsid w:val="573A929F"/>
    <w:rsid w:val="574F9944"/>
    <w:rsid w:val="575B42E0"/>
    <w:rsid w:val="57C39DD7"/>
    <w:rsid w:val="57F553E5"/>
    <w:rsid w:val="5829F4DC"/>
    <w:rsid w:val="589AED2E"/>
    <w:rsid w:val="58CBA956"/>
    <w:rsid w:val="5901AA50"/>
    <w:rsid w:val="5910A045"/>
    <w:rsid w:val="592BD84B"/>
    <w:rsid w:val="59D2D44A"/>
    <w:rsid w:val="59DA273A"/>
    <w:rsid w:val="59F99ACE"/>
    <w:rsid w:val="5A17D3B6"/>
    <w:rsid w:val="5A323A1B"/>
    <w:rsid w:val="5A719BE9"/>
    <w:rsid w:val="5A9F0B93"/>
    <w:rsid w:val="5AF321DD"/>
    <w:rsid w:val="5B23A062"/>
    <w:rsid w:val="5B4E4931"/>
    <w:rsid w:val="5B513C82"/>
    <w:rsid w:val="5B5A739A"/>
    <w:rsid w:val="5B840DAD"/>
    <w:rsid w:val="5B907867"/>
    <w:rsid w:val="5C4FC19A"/>
    <w:rsid w:val="5C620A79"/>
    <w:rsid w:val="5C98EDBF"/>
    <w:rsid w:val="5CA86329"/>
    <w:rsid w:val="5CE2FF29"/>
    <w:rsid w:val="5CEA1992"/>
    <w:rsid w:val="5D2A9652"/>
    <w:rsid w:val="5D384B8C"/>
    <w:rsid w:val="5D5D818A"/>
    <w:rsid w:val="5D7A9A1F"/>
    <w:rsid w:val="5D7BA7B1"/>
    <w:rsid w:val="5DF15AC8"/>
    <w:rsid w:val="5E992FC9"/>
    <w:rsid w:val="5EC70749"/>
    <w:rsid w:val="5ED0F4BF"/>
    <w:rsid w:val="5EEE1331"/>
    <w:rsid w:val="5EF88E39"/>
    <w:rsid w:val="5F246042"/>
    <w:rsid w:val="5F3A8D16"/>
    <w:rsid w:val="5F9F1591"/>
    <w:rsid w:val="5FD6BBD7"/>
    <w:rsid w:val="5FD7B1BE"/>
    <w:rsid w:val="61533456"/>
    <w:rsid w:val="61A23F00"/>
    <w:rsid w:val="61C05B01"/>
    <w:rsid w:val="61E75416"/>
    <w:rsid w:val="61EF6D24"/>
    <w:rsid w:val="624790F0"/>
    <w:rsid w:val="624A48DF"/>
    <w:rsid w:val="625A21F5"/>
    <w:rsid w:val="62AD713B"/>
    <w:rsid w:val="62C9C419"/>
    <w:rsid w:val="6309A0FE"/>
    <w:rsid w:val="631B0A7D"/>
    <w:rsid w:val="634AFB23"/>
    <w:rsid w:val="6352B5D8"/>
    <w:rsid w:val="637B255D"/>
    <w:rsid w:val="63909FA7"/>
    <w:rsid w:val="63987615"/>
    <w:rsid w:val="63F3BAF8"/>
    <w:rsid w:val="640867B0"/>
    <w:rsid w:val="64096E67"/>
    <w:rsid w:val="640B34CF"/>
    <w:rsid w:val="64502BBE"/>
    <w:rsid w:val="645CEEDF"/>
    <w:rsid w:val="64B26D5C"/>
    <w:rsid w:val="64C9A813"/>
    <w:rsid w:val="65738D8E"/>
    <w:rsid w:val="6596E146"/>
    <w:rsid w:val="659F17AA"/>
    <w:rsid w:val="65DF166B"/>
    <w:rsid w:val="65E2EB7F"/>
    <w:rsid w:val="65E3454B"/>
    <w:rsid w:val="6617EC53"/>
    <w:rsid w:val="66359096"/>
    <w:rsid w:val="6658F862"/>
    <w:rsid w:val="66CD7C89"/>
    <w:rsid w:val="66CE2959"/>
    <w:rsid w:val="67342A70"/>
    <w:rsid w:val="67A44327"/>
    <w:rsid w:val="686E1841"/>
    <w:rsid w:val="687BBE1F"/>
    <w:rsid w:val="688C9779"/>
    <w:rsid w:val="68D557A6"/>
    <w:rsid w:val="68D9577D"/>
    <w:rsid w:val="69690421"/>
    <w:rsid w:val="696F175D"/>
    <w:rsid w:val="69AF61F7"/>
    <w:rsid w:val="69C56955"/>
    <w:rsid w:val="69EF5985"/>
    <w:rsid w:val="6A1368A7"/>
    <w:rsid w:val="6A523E2E"/>
    <w:rsid w:val="6A72EE6F"/>
    <w:rsid w:val="6B2EB9FA"/>
    <w:rsid w:val="6B41A06B"/>
    <w:rsid w:val="6B7EA9D4"/>
    <w:rsid w:val="6BDC9EB8"/>
    <w:rsid w:val="6BEA0EE9"/>
    <w:rsid w:val="6C077FE0"/>
    <w:rsid w:val="6C16A0C3"/>
    <w:rsid w:val="6C3DA249"/>
    <w:rsid w:val="6C6D2A0F"/>
    <w:rsid w:val="6CBD1A9A"/>
    <w:rsid w:val="6CBE86F3"/>
    <w:rsid w:val="6CE2CDA1"/>
    <w:rsid w:val="6D2E5055"/>
    <w:rsid w:val="6D3F974C"/>
    <w:rsid w:val="6D8E6360"/>
    <w:rsid w:val="6E091C3C"/>
    <w:rsid w:val="6E20CC55"/>
    <w:rsid w:val="6E33B2C6"/>
    <w:rsid w:val="6E998B84"/>
    <w:rsid w:val="6F76E8E9"/>
    <w:rsid w:val="6F8943DE"/>
    <w:rsid w:val="6FCD87BF"/>
    <w:rsid w:val="6FD7B822"/>
    <w:rsid w:val="6FE06371"/>
    <w:rsid w:val="6FF9484C"/>
    <w:rsid w:val="7004B0A3"/>
    <w:rsid w:val="700D89AA"/>
    <w:rsid w:val="707A85ED"/>
    <w:rsid w:val="708006D3"/>
    <w:rsid w:val="70B5946B"/>
    <w:rsid w:val="70E0CE32"/>
    <w:rsid w:val="711164B1"/>
    <w:rsid w:val="71695820"/>
    <w:rsid w:val="719518AD"/>
    <w:rsid w:val="722BA452"/>
    <w:rsid w:val="72A2ABA9"/>
    <w:rsid w:val="72DC31B7"/>
    <w:rsid w:val="72F808A2"/>
    <w:rsid w:val="72FC7B0F"/>
    <w:rsid w:val="73709457"/>
    <w:rsid w:val="73C1231F"/>
    <w:rsid w:val="73CA5C8A"/>
    <w:rsid w:val="7430AC08"/>
    <w:rsid w:val="74ED7ADF"/>
    <w:rsid w:val="75024C23"/>
    <w:rsid w:val="7526829D"/>
    <w:rsid w:val="753EE02E"/>
    <w:rsid w:val="755EF690"/>
    <w:rsid w:val="7577C8D2"/>
    <w:rsid w:val="75905ED0"/>
    <w:rsid w:val="75C0BF67"/>
    <w:rsid w:val="75C6124E"/>
    <w:rsid w:val="761F762B"/>
    <w:rsid w:val="76446BC2"/>
    <w:rsid w:val="76732F59"/>
    <w:rsid w:val="7737B1A2"/>
    <w:rsid w:val="7758574B"/>
    <w:rsid w:val="777CA891"/>
    <w:rsid w:val="77AEF86F"/>
    <w:rsid w:val="77BE4581"/>
    <w:rsid w:val="77C150C1"/>
    <w:rsid w:val="77E76B45"/>
    <w:rsid w:val="77F504B3"/>
    <w:rsid w:val="78429E61"/>
    <w:rsid w:val="784FD9A9"/>
    <w:rsid w:val="78746656"/>
    <w:rsid w:val="7954B90D"/>
    <w:rsid w:val="7A06DF10"/>
    <w:rsid w:val="7A0C1A49"/>
    <w:rsid w:val="7A189059"/>
    <w:rsid w:val="7A701CAD"/>
    <w:rsid w:val="7A704B6F"/>
    <w:rsid w:val="7A7A50CC"/>
    <w:rsid w:val="7A981299"/>
    <w:rsid w:val="7B1F1A87"/>
    <w:rsid w:val="7B2E8FF1"/>
    <w:rsid w:val="7B933F14"/>
    <w:rsid w:val="7BA44308"/>
    <w:rsid w:val="7BC6464A"/>
    <w:rsid w:val="7BC96DC9"/>
    <w:rsid w:val="7BED0335"/>
    <w:rsid w:val="7C11051A"/>
    <w:rsid w:val="7C53C057"/>
    <w:rsid w:val="7C69592F"/>
    <w:rsid w:val="7C756433"/>
    <w:rsid w:val="7C870DCA"/>
    <w:rsid w:val="7CEF33E0"/>
    <w:rsid w:val="7D622F08"/>
    <w:rsid w:val="7D6D0541"/>
    <w:rsid w:val="7D8E92E3"/>
    <w:rsid w:val="7DA1C28B"/>
    <w:rsid w:val="7E0B644B"/>
    <w:rsid w:val="7E6CD260"/>
    <w:rsid w:val="7E77FB68"/>
    <w:rsid w:val="7E951034"/>
    <w:rsid w:val="7EF0FEFD"/>
    <w:rsid w:val="7FAD51DC"/>
    <w:rsid w:val="7FBEAE8C"/>
    <w:rsid w:val="7FC1C091"/>
    <w:rsid w:val="7FD4C6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7B254"/>
  <w15:chartTrackingRefBased/>
  <w15:docId w15:val="{3A04841C-D724-4F3D-A293-63DB4EA89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5E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35E4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semiHidden/>
    <w:unhideWhenUsed/>
    <w:qFormat/>
    <w:rsid w:val="00890E6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15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1568"/>
  </w:style>
  <w:style w:type="paragraph" w:styleId="Footer">
    <w:name w:val="footer"/>
    <w:basedOn w:val="Normal"/>
    <w:link w:val="FooterChar"/>
    <w:uiPriority w:val="99"/>
    <w:unhideWhenUsed/>
    <w:rsid w:val="006915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568"/>
  </w:style>
  <w:style w:type="character" w:customStyle="1" w:styleId="Heading1Char">
    <w:name w:val="Heading 1 Char"/>
    <w:basedOn w:val="DefaultParagraphFont"/>
    <w:link w:val="Heading1"/>
    <w:uiPriority w:val="9"/>
    <w:rsid w:val="00A35E4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35E4A"/>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3E11D3"/>
    <w:pPr>
      <w:ind w:left="720"/>
      <w:contextualSpacing/>
    </w:pPr>
  </w:style>
  <w:style w:type="character" w:styleId="CommentReference">
    <w:name w:val="annotation reference"/>
    <w:basedOn w:val="DefaultParagraphFont"/>
    <w:uiPriority w:val="99"/>
    <w:semiHidden/>
    <w:unhideWhenUsed/>
    <w:rsid w:val="000C484C"/>
    <w:rPr>
      <w:sz w:val="16"/>
      <w:szCs w:val="16"/>
    </w:rPr>
  </w:style>
  <w:style w:type="paragraph" w:styleId="CommentText">
    <w:name w:val="annotation text"/>
    <w:basedOn w:val="Normal"/>
    <w:link w:val="CommentTextChar"/>
    <w:uiPriority w:val="99"/>
    <w:unhideWhenUsed/>
    <w:rsid w:val="000C484C"/>
    <w:pPr>
      <w:spacing w:line="240" w:lineRule="auto"/>
    </w:pPr>
    <w:rPr>
      <w:sz w:val="20"/>
      <w:szCs w:val="20"/>
    </w:rPr>
  </w:style>
  <w:style w:type="character" w:customStyle="1" w:styleId="CommentTextChar">
    <w:name w:val="Comment Text Char"/>
    <w:basedOn w:val="DefaultParagraphFont"/>
    <w:link w:val="CommentText"/>
    <w:uiPriority w:val="99"/>
    <w:rsid w:val="000C484C"/>
    <w:rPr>
      <w:sz w:val="20"/>
      <w:szCs w:val="20"/>
    </w:rPr>
  </w:style>
  <w:style w:type="paragraph" w:styleId="CommentSubject">
    <w:name w:val="annotation subject"/>
    <w:basedOn w:val="CommentText"/>
    <w:next w:val="CommentText"/>
    <w:link w:val="CommentSubjectChar"/>
    <w:uiPriority w:val="99"/>
    <w:semiHidden/>
    <w:unhideWhenUsed/>
    <w:rsid w:val="000C484C"/>
    <w:rPr>
      <w:b/>
      <w:bCs/>
    </w:rPr>
  </w:style>
  <w:style w:type="character" w:customStyle="1" w:styleId="CommentSubjectChar">
    <w:name w:val="Comment Subject Char"/>
    <w:basedOn w:val="CommentTextChar"/>
    <w:link w:val="CommentSubject"/>
    <w:uiPriority w:val="99"/>
    <w:semiHidden/>
    <w:rsid w:val="000C484C"/>
    <w:rPr>
      <w:b/>
      <w:bCs/>
      <w:sz w:val="20"/>
      <w:szCs w:val="20"/>
    </w:rPr>
  </w:style>
  <w:style w:type="character" w:styleId="Hyperlink">
    <w:name w:val="Hyperlink"/>
    <w:basedOn w:val="DefaultParagraphFont"/>
    <w:uiPriority w:val="99"/>
    <w:unhideWhenUsed/>
    <w:rsid w:val="009F4591"/>
    <w:rPr>
      <w:color w:val="0563C1" w:themeColor="hyperlink"/>
      <w:u w:val="single"/>
    </w:rPr>
  </w:style>
  <w:style w:type="character" w:styleId="UnresolvedMention">
    <w:name w:val="Unresolved Mention"/>
    <w:basedOn w:val="DefaultParagraphFont"/>
    <w:uiPriority w:val="99"/>
    <w:semiHidden/>
    <w:unhideWhenUsed/>
    <w:rsid w:val="009F4591"/>
    <w:rPr>
      <w:color w:val="605E5C"/>
      <w:shd w:val="clear" w:color="auto" w:fill="E1DFDD"/>
    </w:rPr>
  </w:style>
  <w:style w:type="character" w:customStyle="1" w:styleId="ReferencesChar">
    <w:name w:val="References Char"/>
    <w:basedOn w:val="DefaultParagraphFont"/>
    <w:link w:val="References"/>
    <w:locked/>
    <w:rsid w:val="0022407C"/>
  </w:style>
  <w:style w:type="paragraph" w:customStyle="1" w:styleId="References">
    <w:name w:val="References"/>
    <w:basedOn w:val="Normal"/>
    <w:link w:val="ReferencesChar"/>
    <w:qFormat/>
    <w:rsid w:val="0022407C"/>
    <w:pPr>
      <w:spacing w:before="60" w:after="60" w:line="288" w:lineRule="auto"/>
      <w:ind w:left="720" w:hanging="720"/>
    </w:pPr>
  </w:style>
  <w:style w:type="character" w:customStyle="1" w:styleId="Heading5Char">
    <w:name w:val="Heading 5 Char"/>
    <w:basedOn w:val="DefaultParagraphFont"/>
    <w:link w:val="Heading5"/>
    <w:uiPriority w:val="9"/>
    <w:rsid w:val="00890E6E"/>
    <w:rPr>
      <w:rFonts w:asciiTheme="majorHAnsi" w:eastAsiaTheme="majorEastAsia" w:hAnsiTheme="majorHAnsi" w:cstheme="majorBidi"/>
      <w:color w:val="2F5496" w:themeColor="accent1" w:themeShade="BF"/>
    </w:rPr>
  </w:style>
  <w:style w:type="paragraph" w:styleId="FootnoteText">
    <w:name w:val="footnote text"/>
    <w:basedOn w:val="Normal"/>
    <w:link w:val="FootnoteTextChar"/>
    <w:uiPriority w:val="99"/>
    <w:unhideWhenUsed/>
    <w:rsid w:val="00890E6E"/>
    <w:pPr>
      <w:spacing w:after="0" w:line="240" w:lineRule="auto"/>
    </w:pPr>
    <w:rPr>
      <w:sz w:val="20"/>
      <w:szCs w:val="20"/>
    </w:rPr>
  </w:style>
  <w:style w:type="character" w:customStyle="1" w:styleId="FootnoteTextChar">
    <w:name w:val="Footnote Text Char"/>
    <w:basedOn w:val="DefaultParagraphFont"/>
    <w:link w:val="FootnoteText"/>
    <w:uiPriority w:val="99"/>
    <w:rsid w:val="00890E6E"/>
    <w:rPr>
      <w:sz w:val="20"/>
      <w:szCs w:val="20"/>
    </w:rPr>
  </w:style>
  <w:style w:type="character" w:styleId="FootnoteReference">
    <w:name w:val="footnote reference"/>
    <w:basedOn w:val="DefaultParagraphFont"/>
    <w:uiPriority w:val="99"/>
    <w:unhideWhenUsed/>
    <w:rsid w:val="00890E6E"/>
    <w:rPr>
      <w:vertAlign w:val="superscript"/>
    </w:rPr>
  </w:style>
  <w:style w:type="paragraph" w:styleId="NormalWeb">
    <w:name w:val="Normal (Web)"/>
    <w:basedOn w:val="Normal"/>
    <w:uiPriority w:val="99"/>
    <w:semiHidden/>
    <w:unhideWhenUsed/>
    <w:rsid w:val="005676D6"/>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9F482B"/>
    <w:pPr>
      <w:spacing w:after="0" w:line="240" w:lineRule="auto"/>
    </w:pPr>
  </w:style>
  <w:style w:type="character" w:styleId="FollowedHyperlink">
    <w:name w:val="FollowedHyperlink"/>
    <w:basedOn w:val="DefaultParagraphFont"/>
    <w:uiPriority w:val="99"/>
    <w:semiHidden/>
    <w:unhideWhenUsed/>
    <w:rsid w:val="00E133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06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sda.gov/sites/default/files/documents/annual-pollinator-report-2022.pdf"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tis.gov/" TargetMode="External"/><Relationship Id="rId17" Type="http://schemas.openxmlformats.org/officeDocument/2006/relationships/hyperlink" Target="https://seea.un.org/sites/seea.un.org/files/vardon.pdf"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sda.gov/sites/default/files/documents/annual-pollinator-report-2022.pdf"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is.gov/"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publications.jrc.ec.europa.eu/repository/handle/JRC110321" TargetMode="External"/><Relationship Id="rId13" Type="http://schemas.openxmlformats.org/officeDocument/2006/relationships/hyperlink" Target="https://beescape.org/" TargetMode="External"/><Relationship Id="rId18" Type="http://schemas.openxmlformats.org/officeDocument/2006/relationships/hyperlink" Target="https://www.usnativebees.com/organization.html" TargetMode="External"/><Relationship Id="rId3" Type="http://schemas.openxmlformats.org/officeDocument/2006/relationships/hyperlink" Target="https://doi.org/10.1371/journal.pone.0114805" TargetMode="External"/><Relationship Id="rId21" Type="http://schemas.openxmlformats.org/officeDocument/2006/relationships/hyperlink" Target="https://data.nal.usda.gov/dataset/varroa-pop" TargetMode="External"/><Relationship Id="rId7" Type="http://schemas.openxmlformats.org/officeDocument/2006/relationships/hyperlink" Target="https://www.nass.usda.gov/Research_and_Science/Cropland/SARS1a.php" TargetMode="External"/><Relationship Id="rId12" Type="http://schemas.openxmlformats.org/officeDocument/2006/relationships/hyperlink" Target="https://www.usda.gov/sites/default/files/documents/Attractiveness-of-Agriculture-Crops-to-Pollinating-Bees-Report-FINAL-Web-Version-Jan-3-2018.pdf" TargetMode="External"/><Relationship Id="rId17" Type="http://schemas.openxmlformats.org/officeDocument/2006/relationships/hyperlink" Target="https://www.usgs.gov/centers/eesc/science/native-bee-inventory-and-monitoring-lab" TargetMode="External"/><Relationship Id="rId2" Type="http://schemas.openxmlformats.org/officeDocument/2006/relationships/hyperlink" Target="https://doi.org/10.1371/journal.pone.0037235" TargetMode="External"/><Relationship Id="rId16" Type="http://schemas.openxmlformats.org/officeDocument/2006/relationships/hyperlink" Target="https://www.sciencebase.gov/catalog/item/5e95c12282ce172707f2524e" TargetMode="External"/><Relationship Id="rId20" Type="http://schemas.openxmlformats.org/officeDocument/2006/relationships/hyperlink" Target="http://plants.usda.gov" TargetMode="External"/><Relationship Id="rId1" Type="http://schemas.openxmlformats.org/officeDocument/2006/relationships/hyperlink" Target="https://doi.org/10.1098/rspb.2006.3721" TargetMode="External"/><Relationship Id="rId6" Type="http://schemas.openxmlformats.org/officeDocument/2006/relationships/hyperlink" Target="https://obamawhitehouse.archives.gov/sites/default/files/microsites/ostp/Pollinator%20Health%20Strategy%202015.pdf" TargetMode="External"/><Relationship Id="rId11" Type="http://schemas.openxmlformats.org/officeDocument/2006/relationships/hyperlink" Target="https://obamawhitehouse.archives.gov/sites/default/files/microsites/ostp/Pollinator%20Health%20Strategy%202015.pdf" TargetMode="External"/><Relationship Id="rId5" Type="http://schemas.openxmlformats.org/officeDocument/2006/relationships/hyperlink" Target="https://www.doi.gov/priorities/america-the-beautiful" TargetMode="External"/><Relationship Id="rId15" Type="http://schemas.openxmlformats.org/officeDocument/2006/relationships/hyperlink" Target="https://water.usgs.gov/nawqa/pnsp/usage/maps/about.php" TargetMode="External"/><Relationship Id="rId23" Type="http://schemas.openxmlformats.org/officeDocument/2006/relationships/hyperlink" Target="https://doi.org/10.1111/1365-2664.13165" TargetMode="External"/><Relationship Id="rId10" Type="http://schemas.openxmlformats.org/officeDocument/2006/relationships/hyperlink" Target="https://doi.org/10.1101/2021.10.18.464808" TargetMode="External"/><Relationship Id="rId19" Type="http://schemas.openxmlformats.org/officeDocument/2006/relationships/hyperlink" Target="https://thebeetool.com/" TargetMode="External"/><Relationship Id="rId4" Type="http://schemas.openxmlformats.org/officeDocument/2006/relationships/hyperlink" Target="https://www.whitehouse.gov/wp-content/uploads/2022/08/Natural-Capital-Accounting-Strategy.pdf" TargetMode="External"/><Relationship Id="rId9" Type="http://schemas.openxmlformats.org/officeDocument/2006/relationships/hyperlink" Target="https://www.nass.usda.gov/Research_and_Science/Cropland/SARS1a.php" TargetMode="External"/><Relationship Id="rId14" Type="http://schemas.openxmlformats.org/officeDocument/2006/relationships/hyperlink" Target="https://doi.org/10.1101/2021.10.18.464808" TargetMode="External"/><Relationship Id="rId22" Type="http://schemas.openxmlformats.org/officeDocument/2006/relationships/hyperlink" Target="https://beehave-model.n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Fenichel\Work%20Folders\Documents\Custom%20Office%20Templates\draf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3EEC0-8B84-479E-BA94-04D6D6FA8B1E}">
  <ds:schemaRefs>
    <ds:schemaRef ds:uri="http://schemas.microsoft.com/sharepoint/v3/contenttype/forms"/>
  </ds:schemaRefs>
</ds:datastoreItem>
</file>

<file path=customXml/itemProps2.xml><?xml version="1.0" encoding="utf-8"?>
<ds:datastoreItem xmlns:ds="http://schemas.openxmlformats.org/officeDocument/2006/customXml" ds:itemID="{582B69CF-2F28-4094-A7AE-D2F6DB91B01E}">
  <ds:schemaRefs>
    <ds:schemaRef ds:uri="http://schemas.microsoft.com/office/2006/metadata/properties"/>
    <ds:schemaRef ds:uri="http://schemas.microsoft.com/office/infopath/2007/PartnerControls"/>
    <ds:schemaRef ds:uri="8eeba212-75ce-42d0-ab09-9d29d985d9d0"/>
    <ds:schemaRef ds:uri="31062a0d-ede8-4112-b4bb-00a9c1bc8e16"/>
  </ds:schemaRefs>
</ds:datastoreItem>
</file>

<file path=customXml/itemProps3.xml><?xml version="1.0" encoding="utf-8"?>
<ds:datastoreItem xmlns:ds="http://schemas.openxmlformats.org/officeDocument/2006/customXml" ds:itemID="{8F5C5A1E-9A6F-4E06-99FD-084E6A80DBEA}"/>
</file>

<file path=customXml/itemProps4.xml><?xml version="1.0" encoding="utf-8"?>
<ds:datastoreItem xmlns:ds="http://schemas.openxmlformats.org/officeDocument/2006/customXml" ds:itemID="{A48B4DFB-F551-4C77-8825-EB0596123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draft_template</Template>
  <TotalTime>7</TotalTime>
  <Pages>14</Pages>
  <Words>4751</Words>
  <Characters>27748</Characters>
  <Application>Microsoft Office Word</Application>
  <DocSecurity>0</DocSecurity>
  <Lines>351</Lines>
  <Paragraphs>75</Paragraphs>
  <ScaleCrop>false</ScaleCrop>
  <HeadingPairs>
    <vt:vector size="2" baseType="variant">
      <vt:variant>
        <vt:lpstr>Title</vt:lpstr>
      </vt:variant>
      <vt:variant>
        <vt:i4>1</vt:i4>
      </vt:variant>
    </vt:vector>
  </HeadingPairs>
  <TitlesOfParts>
    <vt:vector size="1" baseType="lpstr">
      <vt:lpstr/>
    </vt:vector>
  </TitlesOfParts>
  <Company>White House Communications Agency</Company>
  <LinksUpToDate>false</LinksUpToDate>
  <CharactersWithSpaces>32424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 Fenichel (EOP OSTP)</dc:creator>
  <cp:keywords/>
  <dc:description/>
  <cp:lastModifiedBy>Bagstad, Kenneth J</cp:lastModifiedBy>
  <cp:revision>3</cp:revision>
  <dcterms:created xsi:type="dcterms:W3CDTF">2023-02-09T21:29:00Z</dcterms:created>
  <dcterms:modified xsi:type="dcterms:W3CDTF">2023-04-17T14:18:00Z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y fmtid="{D5CDD505-2E9C-101B-9397-08002B2CF9AE}" pid="3" name="_dlc_DocIdItemGuid">
    <vt:lpwstr>61de1d33-e60b-4e4d-a177-1b51c6e23a82</vt:lpwstr>
  </property>
  <property fmtid="{D5CDD505-2E9C-101B-9397-08002B2CF9AE}" pid="4" name="MediaServiceImageTags">
    <vt:lpwstr/>
  </property>
</Properties>
</file>